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15" w:type="dxa"/>
        <w:tblCellMar>
          <w:top w:w="150" w:type="dxa"/>
          <w:left w:w="150" w:type="dxa"/>
          <w:bottom w:w="150" w:type="dxa"/>
          <w:right w:w="150" w:type="dxa"/>
        </w:tblCellMar>
        <w:tblLook w:val="04A0"/>
      </w:tblPr>
      <w:tblGrid>
        <w:gridCol w:w="9998"/>
      </w:tblGrid>
      <w:tr w:rsidR="003F5398" w:rsidRPr="003F5398">
        <w:trPr>
          <w:tblCellSpacing w:w="15" w:type="dxa"/>
          <w:jc w:val="center"/>
        </w:trPr>
        <w:tc>
          <w:tcPr>
            <w:tcW w:w="0" w:type="auto"/>
            <w:shd w:val="clear" w:color="auto" w:fill="FFFFFF"/>
            <w:vAlign w:val="center"/>
            <w:hideMark/>
          </w:tcPr>
          <w:p w:rsidR="003F5398" w:rsidRPr="003F5398" w:rsidRDefault="003F5398" w:rsidP="003F5398">
            <w:pPr>
              <w:spacing w:after="0" w:line="225" w:lineRule="atLeast"/>
              <w:rPr>
                <w:rFonts w:ascii="Arial" w:eastAsia="Times New Roman" w:hAnsi="Arial" w:cs="Arial"/>
                <w:color w:val="005782"/>
                <w:sz w:val="24"/>
                <w:szCs w:val="24"/>
                <w:lang w:eastAsia="it-IT"/>
              </w:rPr>
            </w:pPr>
            <w:r>
              <w:rPr>
                <w:rFonts w:ascii="Arial" w:eastAsia="Times New Roman" w:hAnsi="Arial" w:cs="Arial"/>
                <w:b/>
                <w:bCs/>
                <w:color w:val="005782"/>
                <w:sz w:val="24"/>
                <w:szCs w:val="24"/>
                <w:lang w:eastAsia="it-IT"/>
              </w:rPr>
              <w:t xml:space="preserve">IL GAZZETTINO        pag 2       </w:t>
            </w:r>
            <w:r w:rsidRPr="003F5398">
              <w:rPr>
                <w:rFonts w:ascii="Arial" w:eastAsia="Times New Roman" w:hAnsi="Arial" w:cs="Arial"/>
                <w:b/>
                <w:bCs/>
                <w:color w:val="005782"/>
                <w:sz w:val="24"/>
                <w:szCs w:val="24"/>
                <w:lang w:eastAsia="it-IT"/>
              </w:rPr>
              <w:t xml:space="preserve">Domenica 10 Ottobre 2010, </w:t>
            </w:r>
          </w:p>
        </w:tc>
      </w:tr>
      <w:tr w:rsidR="003F5398" w:rsidRPr="003F5398">
        <w:trPr>
          <w:tblCellSpacing w:w="15" w:type="dxa"/>
          <w:jc w:val="center"/>
        </w:trPr>
        <w:tc>
          <w:tcPr>
            <w:tcW w:w="0" w:type="auto"/>
            <w:shd w:val="clear" w:color="auto" w:fill="FFFFFF"/>
            <w:vAlign w:val="center"/>
            <w:hideMark/>
          </w:tcPr>
          <w:p w:rsidR="003F5398" w:rsidRDefault="003F5398" w:rsidP="003F5398">
            <w:pPr>
              <w:spacing w:after="240" w:line="345" w:lineRule="atLeast"/>
              <w:rPr>
                <w:rFonts w:ascii="Arial" w:eastAsia="Times New Roman" w:hAnsi="Arial" w:cs="Arial"/>
                <w:color w:val="000033"/>
                <w:sz w:val="23"/>
                <w:szCs w:val="23"/>
                <w:lang w:eastAsia="it-IT"/>
              </w:rPr>
            </w:pPr>
            <w:r w:rsidRPr="003F5398">
              <w:rPr>
                <w:rFonts w:ascii="Arial" w:eastAsia="Times New Roman" w:hAnsi="Arial" w:cs="Arial"/>
                <w:color w:val="000033"/>
                <w:sz w:val="23"/>
                <w:szCs w:val="23"/>
                <w:lang w:eastAsia="it-IT"/>
              </w:rPr>
              <w:t>Le aziende proprietarie di aree inquinate a Porto Marghera sono tenute a risarcire i danni ambientali provocati e ad eseguire le bonifiche.</w:t>
            </w:r>
            <w:r w:rsidRPr="003F5398">
              <w:rPr>
                <w:rFonts w:ascii="Arial" w:eastAsia="Times New Roman" w:hAnsi="Arial" w:cs="Arial"/>
                <w:color w:val="000033"/>
                <w:sz w:val="23"/>
                <w:szCs w:val="23"/>
                <w:lang w:eastAsia="it-IT"/>
              </w:rPr>
              <w:br/>
              <w:t>      Lo ha stabilito un’importante sentenza del Tribunale di Venezia, che apre la strada ad una lunga serie di indennizzi, per ottenere i quali il ministero dell’Ambiente sta combattendo da anni una dura battaglia.</w:t>
            </w:r>
            <w:r w:rsidRPr="003F5398">
              <w:rPr>
                <w:rFonts w:ascii="Arial" w:eastAsia="Times New Roman" w:hAnsi="Arial" w:cs="Arial"/>
                <w:color w:val="000033"/>
                <w:sz w:val="23"/>
                <w:szCs w:val="23"/>
                <w:lang w:eastAsia="it-IT"/>
              </w:rPr>
              <w:br/>
              <w:t>      Il giudice Marco Campagnolo, della terza sezione civile, ha accolto pienamente la richiesta avanzata dall’Avvocatura dello Stato di Venezia, dichiarando che, ai sensi dell’articolo 20151 del Codice civile, la responsabilità delle aziende prescinde dal ruolo avuto in passato nell’inquinamento delle aree. L’inquinamento, infatti, non è "fermo": le sostanze contenute nei rifiuti e nei fanghi tossici sepolti nell’area di Porto Marghera continuano ad infiltrarsi, avvelenando la laguna, i canali della zona industriale e le falde acquifere. Di conseguenza ciascun proprietario di terreno ha l’obbligo di attivarsi per far cessare gli effetti dell’inquinamento e deve risarcire il danno ambientale provocato dai veleni che si trovano nella sua area.</w:t>
            </w:r>
            <w:r w:rsidRPr="003F5398">
              <w:rPr>
                <w:rFonts w:ascii="Arial" w:eastAsia="Times New Roman" w:hAnsi="Arial" w:cs="Arial"/>
                <w:color w:val="000033"/>
                <w:sz w:val="23"/>
                <w:szCs w:val="23"/>
                <w:lang w:eastAsia="it-IT"/>
              </w:rPr>
              <w:br/>
              <w:t xml:space="preserve">      È un concetto di grande rilievo quello contenuto nella sentenza 1969 del 2010, depositata all’inizio di ottobre, con la quale il Tribunale di Venezia ha condannato la 3V CPM Chimica di Porto Marghera «al risarcimento del danno derivato alle </w:t>
            </w:r>
            <w:proofErr w:type="spellStart"/>
            <w:r w:rsidRPr="003F5398">
              <w:rPr>
                <w:rFonts w:ascii="Arial" w:eastAsia="Times New Roman" w:hAnsi="Arial" w:cs="Arial"/>
                <w:color w:val="000033"/>
                <w:sz w:val="23"/>
                <w:szCs w:val="23"/>
                <w:lang w:eastAsia="it-IT"/>
              </w:rPr>
              <w:t>risorve</w:t>
            </w:r>
            <w:proofErr w:type="spellEnd"/>
            <w:r w:rsidRPr="003F5398">
              <w:rPr>
                <w:rFonts w:ascii="Arial" w:eastAsia="Times New Roman" w:hAnsi="Arial" w:cs="Arial"/>
                <w:color w:val="000033"/>
                <w:sz w:val="23"/>
                <w:szCs w:val="23"/>
                <w:lang w:eastAsia="it-IT"/>
              </w:rPr>
              <w:t xml:space="preserve"> ambientali dalla diffusione incontrollata degli inquinanti contenuti nei terreni di sua </w:t>
            </w:r>
            <w:proofErr w:type="spellStart"/>
            <w:r w:rsidRPr="003F5398">
              <w:rPr>
                <w:rFonts w:ascii="Arial" w:eastAsia="Times New Roman" w:hAnsi="Arial" w:cs="Arial"/>
                <w:color w:val="000033"/>
                <w:sz w:val="23"/>
                <w:szCs w:val="23"/>
                <w:lang w:eastAsia="it-IT"/>
              </w:rPr>
              <w:t>propriatà</w:t>
            </w:r>
            <w:proofErr w:type="spellEnd"/>
            <w:r w:rsidRPr="003F5398">
              <w:rPr>
                <w:rFonts w:ascii="Arial" w:eastAsia="Times New Roman" w:hAnsi="Arial" w:cs="Arial"/>
                <w:color w:val="000033"/>
                <w:sz w:val="23"/>
                <w:szCs w:val="23"/>
                <w:lang w:eastAsia="it-IT"/>
              </w:rPr>
              <w:t>». L’ammontare del risarcimento dovrà essere quantificato in un’apposita causa; nel frattempo l’azienda dovrà pagare 10 mila euro di spese di lite ai ministeri dell’Ambiente e delle Infrastrutture e 7500 ad Edison, che era stata chiamata in causa in qualità di precedente proprietario dell’area, la quale ha però già definito con una transazione la sua posizione con lo Stato.</w:t>
            </w:r>
            <w:r w:rsidRPr="003F5398">
              <w:rPr>
                <w:rFonts w:ascii="Arial" w:eastAsia="Times New Roman" w:hAnsi="Arial" w:cs="Arial"/>
                <w:color w:val="000033"/>
                <w:sz w:val="23"/>
                <w:szCs w:val="23"/>
                <w:lang w:eastAsia="it-IT"/>
              </w:rPr>
              <w:br/>
              <w:t xml:space="preserve">      La sentenza emessa dal Tribunale è di grande importanza per il principio sancito e potrebbe essere di stimolo alle aziende di Porto Marghera - circa 800 - che non hanno alcuna intenzione di bonificare le aree e di mettere mani al portafogli per risarcire lo Stato. L’Avvocatura di Venezia, per conto del ministero dell’Ambiente, ha già avviato un’ottantina di cause civili analoghe a quella conclusasi con la sentenza di condanna. «La decisione del Tribunale di Venezia riconosce la responsabilità dei proprietari di terreni a Porto Marghera nella situazione di grave inquinamento dell’area e potrebbe dare un importante impulso alla definizione dei risarcimenti», commenta uno dei magistrati dell’Avvocatura più impegnati nella battaglia ambientale, Giampaolo </w:t>
            </w:r>
            <w:proofErr w:type="spellStart"/>
            <w:r w:rsidRPr="003F5398">
              <w:rPr>
                <w:rFonts w:ascii="Arial" w:eastAsia="Times New Roman" w:hAnsi="Arial" w:cs="Arial"/>
                <w:color w:val="000033"/>
                <w:sz w:val="23"/>
                <w:szCs w:val="23"/>
                <w:lang w:eastAsia="it-IT"/>
              </w:rPr>
              <w:t>Schiesaro</w:t>
            </w:r>
            <w:proofErr w:type="spellEnd"/>
            <w:r w:rsidRPr="003F5398">
              <w:rPr>
                <w:rFonts w:ascii="Arial" w:eastAsia="Times New Roman" w:hAnsi="Arial" w:cs="Arial"/>
                <w:color w:val="000033"/>
                <w:sz w:val="23"/>
                <w:szCs w:val="23"/>
                <w:lang w:eastAsia="it-IT"/>
              </w:rPr>
              <w:t>.</w:t>
            </w:r>
            <w:r w:rsidRPr="003F5398">
              <w:rPr>
                <w:rFonts w:ascii="Arial" w:eastAsia="Times New Roman" w:hAnsi="Arial" w:cs="Arial"/>
                <w:color w:val="000033"/>
                <w:sz w:val="23"/>
                <w:szCs w:val="23"/>
                <w:lang w:eastAsia="it-IT"/>
              </w:rPr>
              <w:br/>
              <w:t xml:space="preserve">      Proprio per questo motivo, nei giorni scorsi è arrivato il dirigente del ministero dell’Ambiente che si sta occupando della complessa questione di Porto Marghera, il quale ha studiato il punto della situazione assieme allo staff dell’Avvocatura dello Stato, e definito le prossime azioni. L’auspicio è che, di fronte a condanne sicure, molte aziende decidano di percorrere la strada della transazione, concordando i risarcimenti dovuti e le modalità di bonifica con il ministero dell’Ambiente, che per legge ha il compito di occuparsi del risanamento di Porto Marghera, definito "sito di interesse nazionale" a causa del grave stato di </w:t>
            </w:r>
            <w:r w:rsidRPr="003F5398">
              <w:rPr>
                <w:rFonts w:ascii="Arial" w:eastAsia="Times New Roman" w:hAnsi="Arial" w:cs="Arial"/>
                <w:color w:val="000033"/>
                <w:sz w:val="23"/>
                <w:szCs w:val="23"/>
                <w:lang w:eastAsia="it-IT"/>
              </w:rPr>
              <w:lastRenderedPageBreak/>
              <w:t>inquinamento.</w:t>
            </w:r>
          </w:p>
          <w:tbl>
            <w:tblPr>
              <w:tblW w:w="0" w:type="auto"/>
              <w:jc w:val="center"/>
              <w:tblCellSpacing w:w="15" w:type="dxa"/>
              <w:tblCellMar>
                <w:top w:w="150" w:type="dxa"/>
                <w:left w:w="150" w:type="dxa"/>
                <w:bottom w:w="150" w:type="dxa"/>
                <w:right w:w="150" w:type="dxa"/>
              </w:tblCellMar>
              <w:tblLook w:val="04A0"/>
            </w:tblPr>
            <w:tblGrid>
              <w:gridCol w:w="9638"/>
            </w:tblGrid>
            <w:tr w:rsidR="003F5398" w:rsidRPr="003F5398">
              <w:trPr>
                <w:tblCellSpacing w:w="15" w:type="dxa"/>
                <w:jc w:val="center"/>
              </w:trPr>
              <w:tc>
                <w:tcPr>
                  <w:tcW w:w="0" w:type="auto"/>
                  <w:shd w:val="clear" w:color="auto" w:fill="FFFFFF"/>
                  <w:vAlign w:val="center"/>
                  <w:hideMark/>
                </w:tcPr>
                <w:p w:rsidR="003F5398" w:rsidRPr="003F5398" w:rsidRDefault="003F5398" w:rsidP="003F5398">
                  <w:pPr>
                    <w:spacing w:after="0" w:line="225" w:lineRule="atLeast"/>
                    <w:rPr>
                      <w:rFonts w:ascii="Arial" w:eastAsia="Times New Roman" w:hAnsi="Arial" w:cs="Arial"/>
                      <w:color w:val="005782"/>
                      <w:sz w:val="24"/>
                      <w:szCs w:val="24"/>
                      <w:lang w:eastAsia="it-IT"/>
                    </w:rPr>
                  </w:pPr>
                  <w:r w:rsidRPr="003F5398">
                    <w:rPr>
                      <w:rFonts w:ascii="Arial" w:eastAsia="Times New Roman" w:hAnsi="Arial" w:cs="Arial"/>
                      <w:color w:val="005782"/>
                      <w:sz w:val="24"/>
                      <w:szCs w:val="24"/>
                      <w:lang w:eastAsia="it-IT"/>
                    </w:rPr>
                    <w:t>IL PERSONAGGIO</w:t>
                  </w:r>
                </w:p>
              </w:tc>
            </w:tr>
            <w:tr w:rsidR="003F5398" w:rsidRPr="003F5398">
              <w:trPr>
                <w:tblCellSpacing w:w="15" w:type="dxa"/>
                <w:jc w:val="center"/>
              </w:trPr>
              <w:tc>
                <w:tcPr>
                  <w:tcW w:w="0" w:type="auto"/>
                  <w:shd w:val="clear" w:color="auto" w:fill="FFFFFF"/>
                  <w:vAlign w:val="center"/>
                  <w:hideMark/>
                </w:tcPr>
                <w:p w:rsidR="003F5398" w:rsidRPr="003F5398" w:rsidRDefault="003F5398" w:rsidP="003F5398">
                  <w:pPr>
                    <w:spacing w:after="0" w:line="375" w:lineRule="atLeast"/>
                    <w:jc w:val="center"/>
                    <w:rPr>
                      <w:rFonts w:ascii="Arial" w:eastAsia="Times New Roman" w:hAnsi="Arial" w:cs="Arial"/>
                      <w:b/>
                      <w:bCs/>
                      <w:color w:val="005782"/>
                      <w:sz w:val="38"/>
                      <w:szCs w:val="38"/>
                      <w:lang w:eastAsia="it-IT"/>
                    </w:rPr>
                  </w:pPr>
                  <w:proofErr w:type="spellStart"/>
                  <w:r w:rsidRPr="003F5398">
                    <w:rPr>
                      <w:rFonts w:ascii="Arial" w:eastAsia="Times New Roman" w:hAnsi="Arial" w:cs="Arial"/>
                      <w:b/>
                      <w:bCs/>
                      <w:color w:val="005782"/>
                      <w:sz w:val="38"/>
                      <w:szCs w:val="38"/>
                      <w:lang w:eastAsia="it-IT"/>
                    </w:rPr>
                    <w:t>Schiesaro</w:t>
                  </w:r>
                  <w:proofErr w:type="spellEnd"/>
                  <w:r w:rsidRPr="003F5398">
                    <w:rPr>
                      <w:rFonts w:ascii="Arial" w:eastAsia="Times New Roman" w:hAnsi="Arial" w:cs="Arial"/>
                      <w:b/>
                      <w:bCs/>
                      <w:color w:val="005782"/>
                      <w:sz w:val="38"/>
                      <w:szCs w:val="38"/>
                      <w:lang w:eastAsia="it-IT"/>
                    </w:rPr>
                    <w:t>, l’avvocato che combatte per l’ambiente</w:t>
                  </w:r>
                </w:p>
              </w:tc>
            </w:tr>
            <w:tr w:rsidR="003F5398" w:rsidRPr="003F5398">
              <w:trPr>
                <w:tblCellSpacing w:w="15" w:type="dxa"/>
                <w:jc w:val="center"/>
              </w:trPr>
              <w:tc>
                <w:tcPr>
                  <w:tcW w:w="22500" w:type="dxa"/>
                  <w:vAlign w:val="center"/>
                  <w:hideMark/>
                </w:tcPr>
                <w:p w:rsidR="003F5398" w:rsidRPr="003F5398" w:rsidRDefault="00D81FD3" w:rsidP="003F5398">
                  <w:pPr>
                    <w:spacing w:after="0" w:line="240" w:lineRule="auto"/>
                    <w:rPr>
                      <w:rFonts w:ascii="Verdana" w:eastAsia="Times New Roman" w:hAnsi="Verdana" w:cs="Times New Roman"/>
                      <w:sz w:val="17"/>
                      <w:szCs w:val="17"/>
                      <w:lang w:eastAsia="it-IT"/>
                    </w:rPr>
                  </w:pPr>
                  <w:r w:rsidRPr="00D81FD3">
                    <w:rPr>
                      <w:rFonts w:ascii="Verdana" w:eastAsia="Times New Roman" w:hAnsi="Verdana" w:cs="Times New Roman"/>
                      <w:sz w:val="17"/>
                      <w:szCs w:val="17"/>
                      <w:lang w:eastAsia="it-IT"/>
                    </w:rPr>
                    <w:pict>
                      <v:rect id="_x0000_i1025" style="width:0;height:.75pt" o:hralign="center" o:hrstd="t" o:hrnoshade="t" o:hr="t" fillcolor="#005782" stroked="f"/>
                    </w:pict>
                  </w:r>
                </w:p>
              </w:tc>
            </w:tr>
            <w:tr w:rsidR="003F5398" w:rsidRPr="003F5398">
              <w:trPr>
                <w:tblCellSpacing w:w="15" w:type="dxa"/>
                <w:jc w:val="center"/>
              </w:trPr>
              <w:tc>
                <w:tcPr>
                  <w:tcW w:w="0" w:type="auto"/>
                  <w:shd w:val="clear" w:color="auto" w:fill="FFFFFF"/>
                  <w:vAlign w:val="center"/>
                  <w:hideMark/>
                </w:tcPr>
                <w:p w:rsidR="003F5398" w:rsidRPr="003F5398" w:rsidRDefault="003F5398" w:rsidP="003F5398">
                  <w:pPr>
                    <w:spacing w:after="0" w:line="225" w:lineRule="atLeast"/>
                    <w:rPr>
                      <w:rFonts w:ascii="Arial" w:eastAsia="Times New Roman" w:hAnsi="Arial" w:cs="Arial"/>
                      <w:color w:val="005782"/>
                      <w:sz w:val="24"/>
                      <w:szCs w:val="24"/>
                      <w:lang w:eastAsia="it-IT"/>
                    </w:rPr>
                  </w:pPr>
                  <w:r w:rsidRPr="003F5398">
                    <w:rPr>
                      <w:rFonts w:ascii="Arial" w:eastAsia="Times New Roman" w:hAnsi="Arial" w:cs="Arial"/>
                      <w:b/>
                      <w:bCs/>
                      <w:color w:val="005782"/>
                      <w:sz w:val="24"/>
                      <w:szCs w:val="24"/>
                      <w:lang w:eastAsia="it-IT"/>
                    </w:rPr>
                    <w:t xml:space="preserve">Domenica 10 Ottobre 2010, </w:t>
                  </w:r>
                </w:p>
              </w:tc>
            </w:tr>
            <w:tr w:rsidR="003F5398" w:rsidRPr="003F5398">
              <w:trPr>
                <w:tblCellSpacing w:w="15" w:type="dxa"/>
                <w:jc w:val="center"/>
              </w:trPr>
              <w:tc>
                <w:tcPr>
                  <w:tcW w:w="0" w:type="auto"/>
                  <w:shd w:val="clear" w:color="auto" w:fill="FFFFFF"/>
                  <w:vAlign w:val="center"/>
                  <w:hideMark/>
                </w:tcPr>
                <w:p w:rsidR="003F5398" w:rsidRPr="003F5398" w:rsidRDefault="003F5398" w:rsidP="003F5398">
                  <w:pPr>
                    <w:spacing w:after="0" w:line="345" w:lineRule="atLeast"/>
                    <w:rPr>
                      <w:rFonts w:ascii="Arial" w:eastAsia="Times New Roman" w:hAnsi="Arial" w:cs="Arial"/>
                      <w:color w:val="000033"/>
                      <w:sz w:val="23"/>
                      <w:szCs w:val="23"/>
                      <w:lang w:eastAsia="it-IT"/>
                    </w:rPr>
                  </w:pPr>
                  <w:r w:rsidRPr="003F5398">
                    <w:rPr>
                      <w:rFonts w:ascii="Arial" w:eastAsia="Times New Roman" w:hAnsi="Arial" w:cs="Arial"/>
                      <w:color w:val="000033"/>
                      <w:sz w:val="23"/>
                      <w:szCs w:val="23"/>
                      <w:lang w:eastAsia="it-IT"/>
                    </w:rPr>
                    <w:t xml:space="preserve">Personalizzare non è mai giusto, soprattutto nel caso dell’Avvocatura dello Stato, che è organismo abituato ad operare in modo collegiale e impersonale a difesa dell’interesse dello Stato. Ma nella battaglia per la tutela dell’ambiente è altrettanto doveroso riconoscere il ruolo che, da oltre un decennio, ha assunto con determinazione, coraggio e grande preparazione, l’avvocato Giampaolo </w:t>
                  </w:r>
                  <w:proofErr w:type="spellStart"/>
                  <w:r w:rsidRPr="003F5398">
                    <w:rPr>
                      <w:rFonts w:ascii="Arial" w:eastAsia="Times New Roman" w:hAnsi="Arial" w:cs="Arial"/>
                      <w:color w:val="000033"/>
                      <w:sz w:val="23"/>
                      <w:szCs w:val="23"/>
                      <w:lang w:eastAsia="it-IT"/>
                    </w:rPr>
                    <w:t>Schiesaro</w:t>
                  </w:r>
                  <w:proofErr w:type="spellEnd"/>
                  <w:r w:rsidRPr="003F5398">
                    <w:rPr>
                      <w:rFonts w:ascii="Arial" w:eastAsia="Times New Roman" w:hAnsi="Arial" w:cs="Arial"/>
                      <w:color w:val="000033"/>
                      <w:sz w:val="23"/>
                      <w:szCs w:val="23"/>
                      <w:lang w:eastAsia="it-IT"/>
                    </w:rPr>
                    <w:t xml:space="preserve">. Un passato da pretore e poi da sostituto procuratore a Rovigo alle spalle, </w:t>
                  </w:r>
                  <w:proofErr w:type="spellStart"/>
                  <w:r w:rsidRPr="003F5398">
                    <w:rPr>
                      <w:rFonts w:ascii="Arial" w:eastAsia="Times New Roman" w:hAnsi="Arial" w:cs="Arial"/>
                      <w:color w:val="000033"/>
                      <w:sz w:val="23"/>
                      <w:szCs w:val="23"/>
                      <w:lang w:eastAsia="it-IT"/>
                    </w:rPr>
                    <w:t>Schiesaro</w:t>
                  </w:r>
                  <w:proofErr w:type="spellEnd"/>
                  <w:r w:rsidRPr="003F5398">
                    <w:rPr>
                      <w:rFonts w:ascii="Arial" w:eastAsia="Times New Roman" w:hAnsi="Arial" w:cs="Arial"/>
                      <w:color w:val="000033"/>
                      <w:sz w:val="23"/>
                      <w:szCs w:val="23"/>
                      <w:lang w:eastAsia="it-IT"/>
                    </w:rPr>
                    <w:t xml:space="preserve"> ha lasciato la magistratura a metà degli anni Novanta per approdare in laguna, all’Avvocatura dello Stato, l’organismo che difende gli interessi dell’amministrazione statale nei diversi contenziosi giudiziari.</w:t>
                  </w:r>
                  <w:r w:rsidRPr="003F5398">
                    <w:rPr>
                      <w:rFonts w:ascii="Arial" w:eastAsia="Times New Roman" w:hAnsi="Arial" w:cs="Arial"/>
                      <w:color w:val="000033"/>
                      <w:sz w:val="23"/>
                      <w:szCs w:val="23"/>
                      <w:lang w:eastAsia="it-IT"/>
                    </w:rPr>
                    <w:br/>
                    <w:t xml:space="preserve">      Nel corso degli anni, </w:t>
                  </w:r>
                  <w:proofErr w:type="spellStart"/>
                  <w:r w:rsidRPr="003F5398">
                    <w:rPr>
                      <w:rFonts w:ascii="Arial" w:eastAsia="Times New Roman" w:hAnsi="Arial" w:cs="Arial"/>
                      <w:color w:val="000033"/>
                      <w:sz w:val="23"/>
                      <w:szCs w:val="23"/>
                      <w:lang w:eastAsia="it-IT"/>
                    </w:rPr>
                    <w:t>Schiesaro</w:t>
                  </w:r>
                  <w:proofErr w:type="spellEnd"/>
                  <w:r w:rsidRPr="003F5398">
                    <w:rPr>
                      <w:rFonts w:ascii="Arial" w:eastAsia="Times New Roman" w:hAnsi="Arial" w:cs="Arial"/>
                      <w:color w:val="000033"/>
                      <w:sz w:val="23"/>
                      <w:szCs w:val="23"/>
                      <w:lang w:eastAsia="it-IT"/>
                    </w:rPr>
                    <w:t xml:space="preserve"> si è specializzato nel settore ambientale, rappresentando gli interessi dello Stato in numerosi ed importanti casi: il processo sulle morti e sull’inquinamento al Petrolchimico; inchieste e dibattimenti su alcuni incidenti avvenuti negli impianti industriali di Porto Marghera, con fuoriuscita di sostanze inquinanti nell’atmosfera; il processo sulla centrale Enel di Porto </w:t>
                  </w:r>
                  <w:proofErr w:type="spellStart"/>
                  <w:r w:rsidRPr="003F5398">
                    <w:rPr>
                      <w:rFonts w:ascii="Arial" w:eastAsia="Times New Roman" w:hAnsi="Arial" w:cs="Arial"/>
                      <w:color w:val="000033"/>
                      <w:sz w:val="23"/>
                      <w:szCs w:val="23"/>
                      <w:lang w:eastAsia="it-IT"/>
                    </w:rPr>
                    <w:t>Tolle</w:t>
                  </w:r>
                  <w:proofErr w:type="spellEnd"/>
                  <w:r w:rsidRPr="003F5398">
                    <w:rPr>
                      <w:rFonts w:ascii="Arial" w:eastAsia="Times New Roman" w:hAnsi="Arial" w:cs="Arial"/>
                      <w:color w:val="000033"/>
                      <w:sz w:val="23"/>
                      <w:szCs w:val="23"/>
                      <w:lang w:eastAsia="it-IT"/>
                    </w:rPr>
                    <w:t xml:space="preserve"> e quello per le morti da amianto ai cantieri navali ex Breda, oggi Fincantieri</w:t>
                  </w:r>
                </w:p>
              </w:tc>
            </w:tr>
          </w:tbl>
          <w:p w:rsidR="003F5398" w:rsidRDefault="003F5398" w:rsidP="003F5398">
            <w:pPr>
              <w:spacing w:after="240" w:line="345" w:lineRule="atLeast"/>
              <w:rPr>
                <w:rFonts w:ascii="Arial" w:eastAsia="Times New Roman" w:hAnsi="Arial" w:cs="Arial"/>
                <w:color w:val="000033"/>
                <w:sz w:val="23"/>
                <w:szCs w:val="23"/>
                <w:lang w:eastAsia="it-IT"/>
              </w:rPr>
            </w:pPr>
          </w:p>
          <w:tbl>
            <w:tblPr>
              <w:tblW w:w="0" w:type="auto"/>
              <w:jc w:val="center"/>
              <w:tblCellSpacing w:w="15" w:type="dxa"/>
              <w:tblCellMar>
                <w:top w:w="150" w:type="dxa"/>
                <w:left w:w="150" w:type="dxa"/>
                <w:bottom w:w="150" w:type="dxa"/>
                <w:right w:w="150" w:type="dxa"/>
              </w:tblCellMar>
              <w:tblLook w:val="04A0"/>
            </w:tblPr>
            <w:tblGrid>
              <w:gridCol w:w="9638"/>
            </w:tblGrid>
            <w:tr w:rsidR="003F5398" w:rsidRPr="003F5398">
              <w:trPr>
                <w:tblCellSpacing w:w="15" w:type="dxa"/>
                <w:jc w:val="center"/>
              </w:trPr>
              <w:tc>
                <w:tcPr>
                  <w:tcW w:w="0" w:type="auto"/>
                  <w:shd w:val="clear" w:color="auto" w:fill="FFFFFF"/>
                  <w:vAlign w:val="center"/>
                  <w:hideMark/>
                </w:tcPr>
                <w:p w:rsidR="003F5398" w:rsidRPr="003F5398" w:rsidRDefault="003F5398" w:rsidP="003F5398">
                  <w:pPr>
                    <w:spacing w:after="0" w:line="375" w:lineRule="atLeast"/>
                    <w:jc w:val="center"/>
                    <w:rPr>
                      <w:rFonts w:ascii="Arial" w:eastAsia="Times New Roman" w:hAnsi="Arial" w:cs="Arial"/>
                      <w:b/>
                      <w:bCs/>
                      <w:color w:val="005782"/>
                      <w:sz w:val="38"/>
                      <w:szCs w:val="38"/>
                      <w:lang w:eastAsia="it-IT"/>
                    </w:rPr>
                  </w:pPr>
                  <w:r w:rsidRPr="003F5398">
                    <w:rPr>
                      <w:rFonts w:ascii="Arial" w:eastAsia="Times New Roman" w:hAnsi="Arial" w:cs="Arial"/>
                      <w:b/>
                      <w:bCs/>
                      <w:color w:val="005782"/>
                      <w:sz w:val="38"/>
                      <w:szCs w:val="38"/>
                      <w:lang w:eastAsia="it-IT"/>
                    </w:rPr>
                    <w:t>Il ministero ha già incassato 650 milioni</w:t>
                  </w:r>
                </w:p>
              </w:tc>
            </w:tr>
            <w:tr w:rsidR="003F5398" w:rsidRPr="003F5398">
              <w:trPr>
                <w:tblCellSpacing w:w="15" w:type="dxa"/>
                <w:jc w:val="center"/>
              </w:trPr>
              <w:tc>
                <w:tcPr>
                  <w:tcW w:w="0" w:type="auto"/>
                  <w:shd w:val="clear" w:color="auto" w:fill="FFFFFF"/>
                  <w:vAlign w:val="center"/>
                  <w:hideMark/>
                </w:tcPr>
                <w:p w:rsidR="003F5398" w:rsidRPr="003F5398" w:rsidRDefault="003F5398" w:rsidP="003F5398">
                  <w:pPr>
                    <w:spacing w:after="0" w:line="240" w:lineRule="atLeast"/>
                    <w:rPr>
                      <w:rFonts w:ascii="Arial" w:eastAsia="Times New Roman" w:hAnsi="Arial" w:cs="Arial"/>
                      <w:i/>
                      <w:iCs/>
                      <w:color w:val="005782"/>
                      <w:sz w:val="24"/>
                      <w:szCs w:val="24"/>
                      <w:lang w:eastAsia="it-IT"/>
                    </w:rPr>
                  </w:pPr>
                  <w:r w:rsidRPr="003F5398">
                    <w:rPr>
                      <w:rFonts w:ascii="Arial" w:eastAsia="Times New Roman" w:hAnsi="Arial" w:cs="Arial"/>
                      <w:i/>
                      <w:iCs/>
                      <w:color w:val="005782"/>
                      <w:sz w:val="24"/>
                      <w:szCs w:val="24"/>
                      <w:lang w:eastAsia="it-IT"/>
                    </w:rPr>
                    <w:t>Sono 35 le transazioni definite dal dicastero dell’Ambiente con aziende dell’area industriale</w:t>
                  </w:r>
                </w:p>
              </w:tc>
            </w:tr>
            <w:tr w:rsidR="003F5398" w:rsidRPr="003F5398">
              <w:trPr>
                <w:tblCellSpacing w:w="15" w:type="dxa"/>
                <w:jc w:val="center"/>
              </w:trPr>
              <w:tc>
                <w:tcPr>
                  <w:tcW w:w="22500" w:type="dxa"/>
                  <w:vAlign w:val="center"/>
                  <w:hideMark/>
                </w:tcPr>
                <w:p w:rsidR="003F5398" w:rsidRPr="003F5398" w:rsidRDefault="00D81FD3" w:rsidP="003F5398">
                  <w:pPr>
                    <w:spacing w:after="0" w:line="240" w:lineRule="auto"/>
                    <w:rPr>
                      <w:rFonts w:ascii="Verdana" w:eastAsia="Times New Roman" w:hAnsi="Verdana" w:cs="Times New Roman"/>
                      <w:sz w:val="17"/>
                      <w:szCs w:val="17"/>
                      <w:lang w:eastAsia="it-IT"/>
                    </w:rPr>
                  </w:pPr>
                  <w:r w:rsidRPr="00D81FD3">
                    <w:rPr>
                      <w:rFonts w:ascii="Verdana" w:eastAsia="Times New Roman" w:hAnsi="Verdana" w:cs="Times New Roman"/>
                      <w:sz w:val="17"/>
                      <w:szCs w:val="17"/>
                      <w:lang w:eastAsia="it-IT"/>
                    </w:rPr>
                    <w:pict>
                      <v:rect id="_x0000_i1026" style="width:0;height:.75pt" o:hralign="center" o:hrstd="t" o:hrnoshade="t" o:hr="t" fillcolor="#005782" stroked="f"/>
                    </w:pict>
                  </w:r>
                </w:p>
              </w:tc>
            </w:tr>
            <w:tr w:rsidR="003F5398" w:rsidRPr="003F5398">
              <w:trPr>
                <w:tblCellSpacing w:w="15" w:type="dxa"/>
                <w:jc w:val="center"/>
              </w:trPr>
              <w:tc>
                <w:tcPr>
                  <w:tcW w:w="0" w:type="auto"/>
                  <w:shd w:val="clear" w:color="auto" w:fill="FFFFFF"/>
                  <w:vAlign w:val="center"/>
                  <w:hideMark/>
                </w:tcPr>
                <w:p w:rsidR="003F5398" w:rsidRPr="003F5398" w:rsidRDefault="003F5398" w:rsidP="003F5398">
                  <w:pPr>
                    <w:spacing w:after="0" w:line="225" w:lineRule="atLeast"/>
                    <w:rPr>
                      <w:rFonts w:ascii="Arial" w:eastAsia="Times New Roman" w:hAnsi="Arial" w:cs="Arial"/>
                      <w:color w:val="005782"/>
                      <w:sz w:val="24"/>
                      <w:szCs w:val="24"/>
                      <w:lang w:eastAsia="it-IT"/>
                    </w:rPr>
                  </w:pPr>
                  <w:r w:rsidRPr="003F5398">
                    <w:rPr>
                      <w:rFonts w:ascii="Arial" w:eastAsia="Times New Roman" w:hAnsi="Arial" w:cs="Arial"/>
                      <w:b/>
                      <w:bCs/>
                      <w:color w:val="005782"/>
                      <w:sz w:val="24"/>
                      <w:szCs w:val="24"/>
                      <w:lang w:eastAsia="it-IT"/>
                    </w:rPr>
                    <w:t xml:space="preserve">Domenica 10 Ottobre 2010, </w:t>
                  </w:r>
                </w:p>
              </w:tc>
            </w:tr>
            <w:tr w:rsidR="003F5398" w:rsidRPr="003F5398">
              <w:trPr>
                <w:tblCellSpacing w:w="15" w:type="dxa"/>
                <w:jc w:val="center"/>
              </w:trPr>
              <w:tc>
                <w:tcPr>
                  <w:tcW w:w="0" w:type="auto"/>
                  <w:shd w:val="clear" w:color="auto" w:fill="FFFFFF"/>
                  <w:vAlign w:val="center"/>
                  <w:hideMark/>
                </w:tcPr>
                <w:p w:rsidR="003F5398" w:rsidRDefault="003F5398" w:rsidP="003F5398">
                  <w:pPr>
                    <w:spacing w:after="240" w:line="345" w:lineRule="atLeast"/>
                    <w:rPr>
                      <w:rFonts w:ascii="Arial" w:eastAsia="Times New Roman" w:hAnsi="Arial" w:cs="Arial"/>
                      <w:color w:val="000033"/>
                      <w:sz w:val="23"/>
                      <w:szCs w:val="23"/>
                      <w:lang w:eastAsia="it-IT"/>
                    </w:rPr>
                  </w:pPr>
                  <w:r w:rsidRPr="003F5398">
                    <w:rPr>
                      <w:rFonts w:ascii="Arial" w:eastAsia="Times New Roman" w:hAnsi="Arial" w:cs="Arial"/>
                      <w:color w:val="000033"/>
                      <w:sz w:val="23"/>
                      <w:szCs w:val="23"/>
                      <w:lang w:eastAsia="it-IT"/>
                    </w:rPr>
                    <w:t>(</w:t>
                  </w:r>
                  <w:proofErr w:type="spellStart"/>
                  <w:r w:rsidRPr="003F5398">
                    <w:rPr>
                      <w:rFonts w:ascii="Arial" w:eastAsia="Times New Roman" w:hAnsi="Arial" w:cs="Arial"/>
                      <w:color w:val="000033"/>
                      <w:sz w:val="23"/>
                      <w:szCs w:val="23"/>
                      <w:lang w:eastAsia="it-IT"/>
                    </w:rPr>
                    <w:t>gla</w:t>
                  </w:r>
                  <w:proofErr w:type="spellEnd"/>
                  <w:r w:rsidRPr="003F5398">
                    <w:rPr>
                      <w:rFonts w:ascii="Arial" w:eastAsia="Times New Roman" w:hAnsi="Arial" w:cs="Arial"/>
                      <w:color w:val="000033"/>
                      <w:sz w:val="23"/>
                      <w:szCs w:val="23"/>
                      <w:lang w:eastAsia="it-IT"/>
                    </w:rPr>
                    <w:t>) Sono 35 le transazioni firmate negli ultimi dieci anni dal Ministero dell’Ambiente con altrettante aziende di Porto Marghera, per un ammontare complessivo di circa 650 milioni di euro; somme già entrate nelle casse dello Stato.</w:t>
                  </w:r>
                  <w:r w:rsidRPr="003F5398">
                    <w:rPr>
                      <w:rFonts w:ascii="Arial" w:eastAsia="Times New Roman" w:hAnsi="Arial" w:cs="Arial"/>
                      <w:color w:val="000033"/>
                      <w:sz w:val="23"/>
                      <w:szCs w:val="23"/>
                      <w:lang w:eastAsia="it-IT"/>
                    </w:rPr>
                    <w:br/>
                    <w:t xml:space="preserve">      Tra le società che hanno preferito evitare un contenzioso giudiziario, accettando di versare cifre consistenti a titolo di risarcimento per l’inquinamento dell’ambiente a Porto Marghera, figurano anche "colossi" quali Eni e Montedison, che nel 2000 decisero di </w:t>
                  </w:r>
                  <w:r w:rsidRPr="003F5398">
                    <w:rPr>
                      <w:rFonts w:ascii="Arial" w:eastAsia="Times New Roman" w:hAnsi="Arial" w:cs="Arial"/>
                      <w:color w:val="000033"/>
                      <w:sz w:val="23"/>
                      <w:szCs w:val="23"/>
                      <w:lang w:eastAsia="it-IT"/>
                    </w:rPr>
                    <w:lastRenderedPageBreak/>
                    <w:t>pagare sostanziosi indennizzi prima della conclusione del processo penale che ha visto sul banco degli imputati gran parte dei "signori della chimica", molti dei quali assolti o dichiarati non punibili a seguito della prescrizione dei reati.</w:t>
                  </w:r>
                  <w:r w:rsidRPr="003F5398">
                    <w:rPr>
                      <w:rFonts w:ascii="Arial" w:eastAsia="Times New Roman" w:hAnsi="Arial" w:cs="Arial"/>
                      <w:color w:val="000033"/>
                      <w:sz w:val="23"/>
                      <w:szCs w:val="23"/>
                      <w:lang w:eastAsia="it-IT"/>
                    </w:rPr>
                    <w:br/>
                    <w:t xml:space="preserve">      Gli ultimi accordi transattivi risalgono a pochi giorni fa, quando il ministro all’Ambiente, Stefania Prestigiacomo, ha annunciato di averne definite sete, per un ammontare complessivo di oltre 5 milioni e 800 mila euro, per la messa in sicurezza, la bonifica e la riparazione ambientale di Porto Marghera. Le ultime aziende che hanno accettato di pagare sono </w:t>
                  </w:r>
                  <w:proofErr w:type="spellStart"/>
                  <w:r w:rsidRPr="003F5398">
                    <w:rPr>
                      <w:rFonts w:ascii="Arial" w:eastAsia="Times New Roman" w:hAnsi="Arial" w:cs="Arial"/>
                      <w:color w:val="000033"/>
                      <w:sz w:val="23"/>
                      <w:szCs w:val="23"/>
                      <w:lang w:eastAsia="it-IT"/>
                    </w:rPr>
                    <w:t>Docks</w:t>
                  </w:r>
                  <w:proofErr w:type="spellEnd"/>
                  <w:r w:rsidRPr="003F5398">
                    <w:rPr>
                      <w:rFonts w:ascii="Arial" w:eastAsia="Times New Roman" w:hAnsi="Arial" w:cs="Arial"/>
                      <w:color w:val="000033"/>
                      <w:sz w:val="23"/>
                      <w:szCs w:val="23"/>
                      <w:lang w:eastAsia="it-IT"/>
                    </w:rPr>
                    <w:t xml:space="preserve"> Venezia srl, Immobiliare Laguna srl,Parco Marghera srl, Vega Parco - Scientifico Tecnologico di Venezia </w:t>
                  </w:r>
                  <w:proofErr w:type="spellStart"/>
                  <w:r w:rsidRPr="003F5398">
                    <w:rPr>
                      <w:rFonts w:ascii="Arial" w:eastAsia="Times New Roman" w:hAnsi="Arial" w:cs="Arial"/>
                      <w:color w:val="000033"/>
                      <w:sz w:val="23"/>
                      <w:szCs w:val="23"/>
                      <w:lang w:eastAsia="it-IT"/>
                    </w:rPr>
                    <w:t>scarl</w:t>
                  </w:r>
                  <w:proofErr w:type="spellEnd"/>
                  <w:r w:rsidRPr="003F5398">
                    <w:rPr>
                      <w:rFonts w:ascii="Arial" w:eastAsia="Times New Roman" w:hAnsi="Arial" w:cs="Arial"/>
                      <w:color w:val="000033"/>
                      <w:sz w:val="23"/>
                      <w:szCs w:val="23"/>
                      <w:lang w:eastAsia="it-IT"/>
                    </w:rPr>
                    <w:t xml:space="preserve">, Siderurgica </w:t>
                  </w:r>
                  <w:proofErr w:type="spellStart"/>
                  <w:r w:rsidRPr="003F5398">
                    <w:rPr>
                      <w:rFonts w:ascii="Arial" w:eastAsia="Times New Roman" w:hAnsi="Arial" w:cs="Arial"/>
                      <w:color w:val="000033"/>
                      <w:sz w:val="23"/>
                      <w:szCs w:val="23"/>
                      <w:lang w:eastAsia="it-IT"/>
                    </w:rPr>
                    <w:t>Gabrielli</w:t>
                  </w:r>
                  <w:proofErr w:type="spellEnd"/>
                  <w:r w:rsidRPr="003F5398">
                    <w:rPr>
                      <w:rFonts w:ascii="Arial" w:eastAsia="Times New Roman" w:hAnsi="Arial" w:cs="Arial"/>
                      <w:color w:val="000033"/>
                      <w:sz w:val="23"/>
                      <w:szCs w:val="23"/>
                      <w:lang w:eastAsia="it-IT"/>
                    </w:rPr>
                    <w:t xml:space="preserve"> spa, Fondo Lucrezio, Finanziaria Internazionale Alternative </w:t>
                  </w:r>
                  <w:proofErr w:type="spellStart"/>
                  <w:r w:rsidRPr="003F5398">
                    <w:rPr>
                      <w:rFonts w:ascii="Arial" w:eastAsia="Times New Roman" w:hAnsi="Arial" w:cs="Arial"/>
                      <w:color w:val="000033"/>
                      <w:sz w:val="23"/>
                      <w:szCs w:val="23"/>
                      <w:lang w:eastAsia="it-IT"/>
                    </w:rPr>
                    <w:t>Investment</w:t>
                  </w:r>
                  <w:proofErr w:type="spellEnd"/>
                  <w:r w:rsidRPr="003F5398">
                    <w:rPr>
                      <w:rFonts w:ascii="Arial" w:eastAsia="Times New Roman" w:hAnsi="Arial" w:cs="Arial"/>
                      <w:color w:val="000033"/>
                      <w:sz w:val="23"/>
                      <w:szCs w:val="23"/>
                      <w:lang w:eastAsia="it-IT"/>
                    </w:rPr>
                    <w:t xml:space="preserve"> </w:t>
                  </w:r>
                  <w:proofErr w:type="spellStart"/>
                  <w:r w:rsidRPr="003F5398">
                    <w:rPr>
                      <w:rFonts w:ascii="Arial" w:eastAsia="Times New Roman" w:hAnsi="Arial" w:cs="Arial"/>
                      <w:color w:val="000033"/>
                      <w:sz w:val="23"/>
                      <w:szCs w:val="23"/>
                      <w:lang w:eastAsia="it-IT"/>
                    </w:rPr>
                    <w:t>sgr</w:t>
                  </w:r>
                  <w:proofErr w:type="spellEnd"/>
                  <w:r w:rsidRPr="003F5398">
                    <w:rPr>
                      <w:rFonts w:ascii="Arial" w:eastAsia="Times New Roman" w:hAnsi="Arial" w:cs="Arial"/>
                      <w:color w:val="000033"/>
                      <w:sz w:val="23"/>
                      <w:szCs w:val="23"/>
                      <w:lang w:eastAsia="it-IT"/>
                    </w:rPr>
                    <w:t xml:space="preserve"> spa. Nei confronti delle altre aziende, il ministero ha avviato cause civili per ottenere la loro condanna al risarcimento dei danni ambientali.</w:t>
                  </w:r>
                </w:p>
                <w:p w:rsidR="003F5398" w:rsidRDefault="003F5398" w:rsidP="003F5398">
                  <w:pPr>
                    <w:spacing w:after="240" w:line="345" w:lineRule="atLeast"/>
                    <w:rPr>
                      <w:rFonts w:ascii="Arial" w:eastAsia="Times New Roman" w:hAnsi="Arial" w:cs="Arial"/>
                      <w:color w:val="000033"/>
                      <w:sz w:val="23"/>
                      <w:szCs w:val="23"/>
                      <w:lang w:eastAsia="it-IT"/>
                    </w:rPr>
                  </w:pPr>
                </w:p>
                <w:p w:rsidR="003F5398" w:rsidRPr="003F5398" w:rsidRDefault="003F5398" w:rsidP="003F5398">
                  <w:pPr>
                    <w:spacing w:after="240" w:line="345" w:lineRule="atLeast"/>
                    <w:rPr>
                      <w:rFonts w:ascii="Arial" w:eastAsia="Times New Roman" w:hAnsi="Arial" w:cs="Arial"/>
                      <w:color w:val="000033"/>
                      <w:sz w:val="23"/>
                      <w:szCs w:val="23"/>
                      <w:lang w:eastAsia="it-IT"/>
                    </w:rPr>
                  </w:pPr>
                  <w:r>
                    <w:rPr>
                      <w:rFonts w:ascii="Verdana" w:hAnsi="Verdana"/>
                      <w:noProof/>
                      <w:sz w:val="17"/>
                      <w:szCs w:val="17"/>
                      <w:lang w:eastAsia="it-IT"/>
                    </w:rPr>
                    <w:drawing>
                      <wp:inline distT="0" distB="0" distL="0" distR="0">
                        <wp:extent cx="6667500" cy="4152900"/>
                        <wp:effectExtent l="19050" t="0" r="0" b="0"/>
                        <wp:docPr id="5" name="Immagine 5" descr="http://sfoglia.gazzettino.it/ParteMobileSfogliatore/file_importati/20101010/foto/6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glia.gazzettino.it/ParteMobileSfogliatore/file_importati/20101010/foto/624.jpg"/>
                                <pic:cNvPicPr>
                                  <a:picLocks noChangeAspect="1" noChangeArrowheads="1"/>
                                </pic:cNvPicPr>
                              </pic:nvPicPr>
                              <pic:blipFill>
                                <a:blip r:embed="rId4"/>
                                <a:srcRect/>
                                <a:stretch>
                                  <a:fillRect/>
                                </a:stretch>
                              </pic:blipFill>
                              <pic:spPr bwMode="auto">
                                <a:xfrm>
                                  <a:off x="0" y="0"/>
                                  <a:ext cx="6667500" cy="4152900"/>
                                </a:xfrm>
                                <a:prstGeom prst="rect">
                                  <a:avLst/>
                                </a:prstGeom>
                                <a:noFill/>
                                <a:ln w="9525">
                                  <a:noFill/>
                                  <a:miter lim="800000"/>
                                  <a:headEnd/>
                                  <a:tailEnd/>
                                </a:ln>
                              </pic:spPr>
                            </pic:pic>
                          </a:graphicData>
                        </a:graphic>
                      </wp:inline>
                    </w:drawing>
                  </w:r>
                </w:p>
              </w:tc>
            </w:tr>
          </w:tbl>
          <w:p w:rsidR="003F5398" w:rsidRDefault="003F5398" w:rsidP="003F5398">
            <w:pPr>
              <w:spacing w:after="240" w:line="345" w:lineRule="atLeast"/>
              <w:rPr>
                <w:rFonts w:ascii="Arial" w:eastAsia="Times New Roman" w:hAnsi="Arial" w:cs="Arial"/>
                <w:color w:val="000033"/>
                <w:sz w:val="23"/>
                <w:szCs w:val="23"/>
                <w:lang w:eastAsia="it-IT"/>
              </w:rPr>
            </w:pPr>
          </w:p>
          <w:p w:rsidR="003F5398" w:rsidRDefault="003F5398" w:rsidP="003F5398">
            <w:pPr>
              <w:spacing w:after="240" w:line="345" w:lineRule="atLeast"/>
              <w:rPr>
                <w:rFonts w:ascii="Arial" w:eastAsia="Times New Roman" w:hAnsi="Arial" w:cs="Arial"/>
                <w:color w:val="000033"/>
                <w:sz w:val="23"/>
                <w:szCs w:val="23"/>
                <w:lang w:eastAsia="it-IT"/>
              </w:rPr>
            </w:pPr>
          </w:p>
          <w:p w:rsidR="00B6044F" w:rsidRPr="00B6044F" w:rsidRDefault="00B6044F" w:rsidP="00B6044F">
            <w:pPr>
              <w:spacing w:before="225" w:after="75" w:line="300" w:lineRule="atLeast"/>
              <w:outlineLvl w:val="1"/>
              <w:rPr>
                <w:rFonts w:ascii="Arial" w:eastAsia="Times New Roman" w:hAnsi="Arial" w:cs="Arial"/>
                <w:b/>
                <w:bCs/>
                <w:color w:val="003300"/>
                <w:kern w:val="36"/>
                <w:sz w:val="27"/>
                <w:szCs w:val="27"/>
                <w:lang w:eastAsia="it-IT"/>
              </w:rPr>
            </w:pPr>
            <w:r w:rsidRPr="00B6044F">
              <w:rPr>
                <w:rFonts w:ascii="Arial" w:eastAsia="Times New Roman" w:hAnsi="Arial" w:cs="Arial"/>
                <w:b/>
                <w:bCs/>
                <w:color w:val="003300"/>
                <w:kern w:val="36"/>
                <w:sz w:val="27"/>
                <w:szCs w:val="27"/>
                <w:lang w:eastAsia="it-IT"/>
              </w:rPr>
              <w:t>Bonifiche, il ministero incassa 5,8 milioni</w:t>
            </w:r>
          </w:p>
          <w:p w:rsidR="00B6044F" w:rsidRPr="00B6044F" w:rsidRDefault="00B6044F" w:rsidP="00B6044F">
            <w:pPr>
              <w:spacing w:before="45" w:after="150" w:line="240" w:lineRule="auto"/>
              <w:rPr>
                <w:rFonts w:ascii="Lucida Sans Unicode" w:eastAsia="Times New Roman" w:hAnsi="Lucida Sans Unicode" w:cs="Lucida Sans Unicode"/>
                <w:color w:val="666666"/>
                <w:sz w:val="17"/>
                <w:szCs w:val="17"/>
                <w:lang w:eastAsia="it-IT"/>
              </w:rPr>
            </w:pPr>
            <w:r w:rsidRPr="00B6044F">
              <w:rPr>
                <w:rFonts w:ascii="Lucida Sans Unicode" w:eastAsia="Times New Roman" w:hAnsi="Lucida Sans Unicode" w:cs="Lucida Sans Unicode"/>
                <w:color w:val="666666"/>
                <w:sz w:val="17"/>
                <w:szCs w:val="17"/>
                <w:lang w:eastAsia="it-IT"/>
              </w:rPr>
              <w:t xml:space="preserve">la Nuova di Venezia — 07 ottobre 2010   pagina 22   sezione: CRONACA </w:t>
            </w:r>
          </w:p>
          <w:p w:rsidR="00B6044F" w:rsidRPr="00B6044F" w:rsidRDefault="00B6044F" w:rsidP="00B6044F">
            <w:pPr>
              <w:spacing w:after="150" w:line="240" w:lineRule="atLeast"/>
              <w:rPr>
                <w:rFonts w:ascii="Lucida Sans Unicode" w:eastAsia="Times New Roman" w:hAnsi="Lucida Sans Unicode" w:cs="Lucida Sans Unicode"/>
                <w:color w:val="222222"/>
                <w:sz w:val="20"/>
                <w:szCs w:val="20"/>
                <w:lang w:eastAsia="it-IT"/>
              </w:rPr>
            </w:pPr>
            <w:r w:rsidRPr="00B6044F">
              <w:rPr>
                <w:rFonts w:ascii="Lucida Sans Unicode" w:eastAsia="Times New Roman" w:hAnsi="Lucida Sans Unicode" w:cs="Lucida Sans Unicode"/>
                <w:color w:val="222222"/>
                <w:sz w:val="20"/>
                <w:szCs w:val="20"/>
                <w:lang w:eastAsia="it-IT"/>
              </w:rPr>
              <w:lastRenderedPageBreak/>
              <w:t xml:space="preserve">  Sottoscritte dal Ministero dell’ambiente una serie di transazioni, del valore complessivo di 5.822.890 euro per la messa in sicurezza, la bonifica e la riparazione ambientale di Porto Marghera. Le società che hanno sottoscritto gli accordi sono: </w:t>
            </w:r>
            <w:proofErr w:type="spellStart"/>
            <w:r w:rsidRPr="00B6044F">
              <w:rPr>
                <w:rFonts w:ascii="Lucida Sans Unicode" w:eastAsia="Times New Roman" w:hAnsi="Lucida Sans Unicode" w:cs="Lucida Sans Unicode"/>
                <w:color w:val="222222"/>
                <w:sz w:val="20"/>
                <w:szCs w:val="20"/>
                <w:lang w:eastAsia="it-IT"/>
              </w:rPr>
              <w:t>Docks</w:t>
            </w:r>
            <w:proofErr w:type="spellEnd"/>
            <w:r w:rsidRPr="00B6044F">
              <w:rPr>
                <w:rFonts w:ascii="Lucida Sans Unicode" w:eastAsia="Times New Roman" w:hAnsi="Lucida Sans Unicode" w:cs="Lucida Sans Unicode"/>
                <w:color w:val="222222"/>
                <w:sz w:val="20"/>
                <w:szCs w:val="20"/>
                <w:lang w:eastAsia="it-IT"/>
              </w:rPr>
              <w:t xml:space="preserve"> Venezia srl, Immobiliare Laguna srl, Parco Marghera srl, Vega, Siderurgica </w:t>
            </w:r>
            <w:proofErr w:type="spellStart"/>
            <w:r w:rsidRPr="00B6044F">
              <w:rPr>
                <w:rFonts w:ascii="Lucida Sans Unicode" w:eastAsia="Times New Roman" w:hAnsi="Lucida Sans Unicode" w:cs="Lucida Sans Unicode"/>
                <w:color w:val="222222"/>
                <w:sz w:val="20"/>
                <w:szCs w:val="20"/>
                <w:lang w:eastAsia="it-IT"/>
              </w:rPr>
              <w:t>Gabrielli</w:t>
            </w:r>
            <w:proofErr w:type="spellEnd"/>
            <w:r w:rsidRPr="00B6044F">
              <w:rPr>
                <w:rFonts w:ascii="Lucida Sans Unicode" w:eastAsia="Times New Roman" w:hAnsi="Lucida Sans Unicode" w:cs="Lucida Sans Unicode"/>
                <w:color w:val="222222"/>
                <w:sz w:val="20"/>
                <w:szCs w:val="20"/>
                <w:lang w:eastAsia="it-IT"/>
              </w:rPr>
              <w:t xml:space="preserve"> spa, Fondo Lucrezio.  E poi Finanziaria Internazionale Alternative </w:t>
            </w:r>
            <w:proofErr w:type="spellStart"/>
            <w:r w:rsidRPr="00B6044F">
              <w:rPr>
                <w:rFonts w:ascii="Lucida Sans Unicode" w:eastAsia="Times New Roman" w:hAnsi="Lucida Sans Unicode" w:cs="Lucida Sans Unicode"/>
                <w:color w:val="222222"/>
                <w:sz w:val="20"/>
                <w:szCs w:val="20"/>
                <w:lang w:eastAsia="it-IT"/>
              </w:rPr>
              <w:t>Investment</w:t>
            </w:r>
            <w:proofErr w:type="spellEnd"/>
            <w:r w:rsidRPr="00B6044F">
              <w:rPr>
                <w:rFonts w:ascii="Lucida Sans Unicode" w:eastAsia="Times New Roman" w:hAnsi="Lucida Sans Unicode" w:cs="Lucida Sans Unicode"/>
                <w:color w:val="222222"/>
                <w:sz w:val="20"/>
                <w:szCs w:val="20"/>
                <w:lang w:eastAsia="it-IT"/>
              </w:rPr>
              <w:t xml:space="preserve"> </w:t>
            </w:r>
            <w:proofErr w:type="spellStart"/>
            <w:r w:rsidRPr="00B6044F">
              <w:rPr>
                <w:rFonts w:ascii="Lucida Sans Unicode" w:eastAsia="Times New Roman" w:hAnsi="Lucida Sans Unicode" w:cs="Lucida Sans Unicode"/>
                <w:color w:val="222222"/>
                <w:sz w:val="20"/>
                <w:szCs w:val="20"/>
                <w:lang w:eastAsia="it-IT"/>
              </w:rPr>
              <w:t>sgr</w:t>
            </w:r>
            <w:proofErr w:type="spellEnd"/>
            <w:r w:rsidRPr="00B6044F">
              <w:rPr>
                <w:rFonts w:ascii="Lucida Sans Unicode" w:eastAsia="Times New Roman" w:hAnsi="Lucida Sans Unicode" w:cs="Lucida Sans Unicode"/>
                <w:color w:val="222222"/>
                <w:sz w:val="20"/>
                <w:szCs w:val="20"/>
                <w:lang w:eastAsia="it-IT"/>
              </w:rPr>
              <w:t xml:space="preserve"> spa. «Procedere alle transazioni, chiudendo lunghi contenziosi e avviando in concreto le bonifiche - ha commentato il ministro dell’Ambiente, Stefania Prestigiacomo - è un obiettivo prioritario per il ministero. Consente infatti di risanare i territori compromessi dai guasti dell’inquinamento e consentire in quelle aree nuovi insediamenti produttivi, </w:t>
            </w:r>
            <w:proofErr w:type="spellStart"/>
            <w:r w:rsidRPr="00B6044F">
              <w:rPr>
                <w:rFonts w:ascii="Lucida Sans Unicode" w:eastAsia="Times New Roman" w:hAnsi="Lucida Sans Unicode" w:cs="Lucida Sans Unicode"/>
                <w:color w:val="222222"/>
                <w:sz w:val="20"/>
                <w:szCs w:val="20"/>
                <w:lang w:eastAsia="it-IT"/>
              </w:rPr>
              <w:t>ambientalmente</w:t>
            </w:r>
            <w:proofErr w:type="spellEnd"/>
            <w:r w:rsidRPr="00B6044F">
              <w:rPr>
                <w:rFonts w:ascii="Lucida Sans Unicode" w:eastAsia="Times New Roman" w:hAnsi="Lucida Sans Unicode" w:cs="Lucida Sans Unicode"/>
                <w:color w:val="222222"/>
                <w:sz w:val="20"/>
                <w:szCs w:val="20"/>
                <w:lang w:eastAsia="it-IT"/>
              </w:rPr>
              <w:t xml:space="preserve"> sostenibili, e capaci di innescare sviluppo e occupazione».  In pratica le transazioni fissano i contributi delle aziende agli interventi di </w:t>
            </w:r>
            <w:proofErr w:type="spellStart"/>
            <w:r w:rsidRPr="00B6044F">
              <w:rPr>
                <w:rFonts w:ascii="Lucida Sans Unicode" w:eastAsia="Times New Roman" w:hAnsi="Lucida Sans Unicode" w:cs="Lucida Sans Unicode"/>
                <w:color w:val="222222"/>
                <w:sz w:val="20"/>
                <w:szCs w:val="20"/>
                <w:lang w:eastAsia="it-IT"/>
              </w:rPr>
              <w:t>marginamento</w:t>
            </w:r>
            <w:proofErr w:type="spellEnd"/>
            <w:r w:rsidRPr="00B6044F">
              <w:rPr>
                <w:rFonts w:ascii="Lucida Sans Unicode" w:eastAsia="Times New Roman" w:hAnsi="Lucida Sans Unicode" w:cs="Lucida Sans Unicode"/>
                <w:color w:val="222222"/>
                <w:sz w:val="20"/>
                <w:szCs w:val="20"/>
                <w:lang w:eastAsia="it-IT"/>
              </w:rPr>
              <w:t xml:space="preserve"> dei canali industriali, aventi anche caratteristiche di messa in sicurezza ambientale delle aree prospicienti, e al risarcimento del danno ambientale derivato dalla contaminazione delle aree in custodia di rispettiva competenza. «La stipula di questi atti transattivi - spiega il ministero - da un lato consente alla pubblica amministrazione di chiudere tutto il pregresso contenzioso con i soggetti obbligati, garantendo la bonifica delle aree interessate in tempi ragionevoli e dall’altro consente alle imprese di riutilizzare a fini produttivi le aree stesse realizzando importanti investimenti volano di sviluppo per il territorio». Soddisfatto il direttore del Vega, Michele Vianello: «Con questa transazione vengono sbloccate definitivamente le possibilità edificatorie. Raddoppieremo così il Vega, realizzando edifici per aumentare l’impronta di parco </w:t>
            </w:r>
            <w:proofErr w:type="spellStart"/>
            <w:r w:rsidRPr="00B6044F">
              <w:rPr>
                <w:rFonts w:ascii="Lucida Sans Unicode" w:eastAsia="Times New Roman" w:hAnsi="Lucida Sans Unicode" w:cs="Lucida Sans Unicode"/>
                <w:color w:val="222222"/>
                <w:sz w:val="20"/>
                <w:szCs w:val="20"/>
                <w:lang w:eastAsia="it-IT"/>
              </w:rPr>
              <w:t>scientifivo</w:t>
            </w:r>
            <w:proofErr w:type="spellEnd"/>
            <w:r w:rsidRPr="00B6044F">
              <w:rPr>
                <w:rFonts w:ascii="Lucida Sans Unicode" w:eastAsia="Times New Roman" w:hAnsi="Lucida Sans Unicode" w:cs="Lucida Sans Unicode"/>
                <w:color w:val="222222"/>
                <w:sz w:val="20"/>
                <w:szCs w:val="20"/>
                <w:lang w:eastAsia="it-IT"/>
              </w:rPr>
              <w:t xml:space="preserve"> e tecnologico. I tempi? Dipenderà dagli investitori». (</w:t>
            </w:r>
            <w:proofErr w:type="spellStart"/>
            <w:r w:rsidRPr="00B6044F">
              <w:rPr>
                <w:rFonts w:ascii="Lucida Sans Unicode" w:eastAsia="Times New Roman" w:hAnsi="Lucida Sans Unicode" w:cs="Lucida Sans Unicode"/>
                <w:color w:val="222222"/>
                <w:sz w:val="20"/>
                <w:szCs w:val="20"/>
                <w:lang w:eastAsia="it-IT"/>
              </w:rPr>
              <w:t>g.b</w:t>
            </w:r>
            <w:proofErr w:type="spellEnd"/>
          </w:p>
          <w:p w:rsidR="003F5398" w:rsidRDefault="003F5398" w:rsidP="003F5398">
            <w:pPr>
              <w:spacing w:after="240" w:line="345" w:lineRule="atLeast"/>
              <w:rPr>
                <w:rFonts w:ascii="Arial" w:eastAsia="Times New Roman" w:hAnsi="Arial" w:cs="Arial"/>
                <w:color w:val="000033"/>
                <w:sz w:val="23"/>
                <w:szCs w:val="23"/>
                <w:lang w:eastAsia="it-IT"/>
              </w:rPr>
            </w:pPr>
          </w:p>
          <w:p w:rsidR="00B6044F" w:rsidRDefault="00B6044F" w:rsidP="003F5398">
            <w:pPr>
              <w:spacing w:after="240" w:line="345" w:lineRule="atLeast"/>
              <w:rPr>
                <w:rFonts w:ascii="Arial" w:eastAsia="Times New Roman" w:hAnsi="Arial" w:cs="Arial"/>
                <w:color w:val="000033"/>
                <w:sz w:val="23"/>
                <w:szCs w:val="23"/>
                <w:lang w:eastAsia="it-IT"/>
              </w:rPr>
            </w:pPr>
          </w:p>
          <w:p w:rsidR="00B6044F" w:rsidRDefault="00B6044F" w:rsidP="003F5398">
            <w:pPr>
              <w:spacing w:after="240" w:line="345" w:lineRule="atLeast"/>
              <w:rPr>
                <w:rFonts w:ascii="Arial" w:eastAsia="Times New Roman" w:hAnsi="Arial" w:cs="Arial"/>
                <w:color w:val="000033"/>
                <w:sz w:val="23"/>
                <w:szCs w:val="23"/>
                <w:lang w:eastAsia="it-IT"/>
              </w:rPr>
            </w:pPr>
          </w:p>
          <w:p w:rsidR="003F5398" w:rsidRPr="003F5398" w:rsidRDefault="003F5398" w:rsidP="003F5398">
            <w:pPr>
              <w:spacing w:after="240" w:line="345" w:lineRule="atLeast"/>
              <w:rPr>
                <w:rFonts w:ascii="Arial" w:eastAsia="Times New Roman" w:hAnsi="Arial" w:cs="Arial"/>
                <w:color w:val="000033"/>
                <w:sz w:val="23"/>
                <w:szCs w:val="23"/>
                <w:lang w:eastAsia="it-IT"/>
              </w:rPr>
            </w:pPr>
          </w:p>
        </w:tc>
      </w:tr>
    </w:tbl>
    <w:p w:rsidR="007F707D" w:rsidRDefault="007F707D"/>
    <w:sectPr w:rsidR="007F707D" w:rsidSect="007F707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F5398"/>
    <w:rsid w:val="003F5398"/>
    <w:rsid w:val="007F707D"/>
    <w:rsid w:val="00B6044F"/>
    <w:rsid w:val="00D81FD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F707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F53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398"/>
    <w:rPr>
      <w:rFonts w:ascii="Tahoma" w:hAnsi="Tahoma" w:cs="Tahoma"/>
      <w:sz w:val="16"/>
      <w:szCs w:val="16"/>
    </w:rPr>
  </w:style>
  <w:style w:type="paragraph" w:customStyle="1" w:styleId="metadata14">
    <w:name w:val="metadata14"/>
    <w:basedOn w:val="Normale"/>
    <w:rsid w:val="00B6044F"/>
    <w:pPr>
      <w:spacing w:before="45" w:after="150" w:line="240" w:lineRule="auto"/>
    </w:pPr>
    <w:rPr>
      <w:rFonts w:ascii="Times New Roman" w:eastAsia="Times New Roman" w:hAnsi="Times New Roman" w:cs="Times New Roman"/>
      <w:color w:val="666666"/>
      <w:sz w:val="17"/>
      <w:szCs w:val="17"/>
      <w:lang w:eastAsia="it-IT"/>
    </w:rPr>
  </w:style>
</w:styles>
</file>

<file path=word/webSettings.xml><?xml version="1.0" encoding="utf-8"?>
<w:webSettings xmlns:r="http://schemas.openxmlformats.org/officeDocument/2006/relationships" xmlns:w="http://schemas.openxmlformats.org/wordprocessingml/2006/main">
  <w:divs>
    <w:div w:id="769467196">
      <w:bodyDiv w:val="1"/>
      <w:marLeft w:val="150"/>
      <w:marRight w:val="0"/>
      <w:marTop w:val="0"/>
      <w:marBottom w:val="150"/>
      <w:divBdr>
        <w:top w:val="none" w:sz="0" w:space="0" w:color="auto"/>
        <w:left w:val="none" w:sz="0" w:space="0" w:color="auto"/>
        <w:bottom w:val="none" w:sz="0" w:space="0" w:color="auto"/>
        <w:right w:val="none" w:sz="0" w:space="0" w:color="auto"/>
      </w:divBdr>
      <w:divsChild>
        <w:div w:id="1079448839">
          <w:marLeft w:val="0"/>
          <w:marRight w:val="0"/>
          <w:marTop w:val="0"/>
          <w:marBottom w:val="0"/>
          <w:divBdr>
            <w:top w:val="none" w:sz="0" w:space="0" w:color="auto"/>
            <w:left w:val="none" w:sz="0" w:space="0" w:color="auto"/>
            <w:bottom w:val="none" w:sz="0" w:space="0" w:color="auto"/>
            <w:right w:val="none" w:sz="0" w:space="0" w:color="auto"/>
          </w:divBdr>
          <w:divsChild>
            <w:div w:id="1816139282">
              <w:marLeft w:val="0"/>
              <w:marRight w:val="0"/>
              <w:marTop w:val="0"/>
              <w:marBottom w:val="0"/>
              <w:divBdr>
                <w:top w:val="none" w:sz="0" w:space="0" w:color="auto"/>
                <w:left w:val="none" w:sz="0" w:space="0" w:color="auto"/>
                <w:bottom w:val="none" w:sz="0" w:space="0" w:color="auto"/>
                <w:right w:val="none" w:sz="0" w:space="0" w:color="auto"/>
              </w:divBdr>
              <w:divsChild>
                <w:div w:id="793862991">
                  <w:marLeft w:val="0"/>
                  <w:marRight w:val="0"/>
                  <w:marTop w:val="0"/>
                  <w:marBottom w:val="0"/>
                  <w:divBdr>
                    <w:top w:val="single" w:sz="18" w:space="2" w:color="339933"/>
                    <w:left w:val="none" w:sz="0" w:space="0" w:color="339933"/>
                    <w:bottom w:val="none" w:sz="0" w:space="0" w:color="339933"/>
                    <w:right w:val="none" w:sz="0" w:space="0" w:color="339933"/>
                  </w:divBdr>
                  <w:divsChild>
                    <w:div w:id="480195021">
                      <w:marLeft w:val="0"/>
                      <w:marRight w:val="150"/>
                      <w:marTop w:val="0"/>
                      <w:marBottom w:val="0"/>
                      <w:divBdr>
                        <w:top w:val="none" w:sz="0" w:space="0" w:color="auto"/>
                        <w:left w:val="none" w:sz="0" w:space="0" w:color="auto"/>
                        <w:bottom w:val="none" w:sz="0" w:space="0" w:color="auto"/>
                        <w:right w:val="none" w:sz="0" w:space="0" w:color="auto"/>
                      </w:divBdr>
                      <w:divsChild>
                        <w:div w:id="2007395770">
                          <w:marLeft w:val="0"/>
                          <w:marRight w:val="0"/>
                          <w:marTop w:val="0"/>
                          <w:marBottom w:val="0"/>
                          <w:divBdr>
                            <w:top w:val="none" w:sz="0" w:space="0" w:color="auto"/>
                            <w:left w:val="none" w:sz="0" w:space="0" w:color="auto"/>
                            <w:bottom w:val="none" w:sz="0" w:space="0" w:color="auto"/>
                            <w:right w:val="none" w:sz="0" w:space="0" w:color="auto"/>
                          </w:divBdr>
                          <w:divsChild>
                            <w:div w:id="8415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1233</Words>
  <Characters>7031</Characters>
  <Application>Microsoft Office Word</Application>
  <DocSecurity>0</DocSecurity>
  <Lines>58</Lines>
  <Paragraphs>16</Paragraphs>
  <ScaleCrop>false</ScaleCrop>
  <Company/>
  <LinksUpToDate>false</LinksUpToDate>
  <CharactersWithSpaces>8248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2010-10-11T07:24:00Z</dcterms:created>
  <dcterms:modified xsi:type="dcterms:W3CDTF">2010-10-11T07:50:00Z</dcterms:modified>
</cp:coreProperties>
</file>