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7" w:type="dxa"/>
        <w:tblCellMar>
          <w:top w:w="15" w:type="dxa"/>
          <w:left w:w="15" w:type="dxa"/>
          <w:bottom w:w="15" w:type="dxa"/>
          <w:right w:w="15" w:type="dxa"/>
        </w:tblCellMar>
        <w:tblLook w:val="04A0" w:firstRow="1" w:lastRow="0" w:firstColumn="1" w:lastColumn="0" w:noHBand="0" w:noVBand="1"/>
      </w:tblPr>
      <w:tblGrid>
        <w:gridCol w:w="9795"/>
      </w:tblGrid>
      <w:tr w:rsidR="00B453D8" w:rsidRPr="00B453D8" w:rsidTr="003B360E">
        <w:tc>
          <w:tcPr>
            <w:tcW w:w="9795" w:type="dxa"/>
            <w:vAlign w:val="center"/>
            <w:hideMark/>
          </w:tcPr>
          <w:p w:rsidR="00B453D8" w:rsidRPr="00B453D8" w:rsidRDefault="00B453D8" w:rsidP="00B453D8">
            <w:pPr>
              <w:spacing w:after="0" w:line="240" w:lineRule="auto"/>
              <w:jc w:val="center"/>
              <w:rPr>
                <w:rFonts w:ascii="Arial" w:eastAsia="Times New Roman" w:hAnsi="Arial" w:cs="Arial"/>
                <w:color w:val="000000"/>
                <w:sz w:val="18"/>
                <w:szCs w:val="18"/>
                <w:lang w:eastAsia="it-IT"/>
              </w:rPr>
            </w:pPr>
          </w:p>
          <w:p w:rsidR="00B453D8" w:rsidRPr="00B453D8" w:rsidRDefault="00B453D8" w:rsidP="00B453D8">
            <w:pPr>
              <w:spacing w:before="100" w:beforeAutospacing="1" w:after="100" w:afterAutospacing="1" w:line="0" w:lineRule="atLeast"/>
              <w:jc w:val="right"/>
              <w:rPr>
                <w:rFonts w:ascii="Times Nordic" w:eastAsia="Times New Roman" w:hAnsi="Times Nordic" w:cs="Arial"/>
                <w:b/>
                <w:bCs/>
                <w:color w:val="000000"/>
                <w:lang w:eastAsia="it-IT"/>
              </w:rPr>
            </w:pPr>
            <w:r w:rsidRPr="00B453D8">
              <w:rPr>
                <w:rFonts w:ascii="Times Nordic" w:eastAsia="Times New Roman" w:hAnsi="Times Nordic" w:cs="Arial"/>
                <w:b/>
                <w:bCs/>
                <w:color w:val="000000"/>
                <w:lang w:eastAsia="it-IT"/>
              </w:rPr>
              <w:t>Numero </w:t>
            </w:r>
            <w:r w:rsidRPr="00B453D8">
              <w:rPr>
                <w:rFonts w:ascii="Times Nordic" w:eastAsia="Times New Roman" w:hAnsi="Times Nordic" w:cs="Arial"/>
                <w:b/>
                <w:bCs/>
                <w:color w:val="000000"/>
                <w:shd w:val="clear" w:color="auto" w:fill="FFFF00"/>
                <w:lang w:eastAsia="it-IT"/>
              </w:rPr>
              <w:t>00067/2016</w:t>
            </w:r>
            <w:r w:rsidRPr="00B453D8">
              <w:rPr>
                <w:rFonts w:ascii="Times Nordic" w:eastAsia="Times New Roman" w:hAnsi="Times Nordic" w:cs="Arial"/>
                <w:b/>
                <w:bCs/>
                <w:color w:val="000000"/>
                <w:lang w:eastAsia="it-IT"/>
              </w:rPr>
              <w:t> e data 20/01/2016</w:t>
            </w:r>
          </w:p>
          <w:p w:rsidR="00B453D8" w:rsidRPr="00B453D8" w:rsidRDefault="00B453D8" w:rsidP="00B453D8">
            <w:pPr>
              <w:spacing w:before="100" w:beforeAutospacing="1" w:after="100" w:afterAutospacing="1" w:line="240" w:lineRule="auto"/>
              <w:jc w:val="center"/>
              <w:rPr>
                <w:rFonts w:ascii="Garamond" w:eastAsia="Times New Roman" w:hAnsi="Garamond" w:cs="Arial"/>
                <w:b/>
                <w:bCs/>
                <w:color w:val="000000"/>
                <w:sz w:val="24"/>
                <w:szCs w:val="24"/>
                <w:lang w:eastAsia="it-IT"/>
              </w:rPr>
            </w:pPr>
            <w:r w:rsidRPr="00B453D8">
              <w:rPr>
                <w:rFonts w:ascii="Garamond" w:eastAsia="Times New Roman" w:hAnsi="Garamond" w:cs="Arial"/>
                <w:b/>
                <w:bCs/>
                <w:noProof/>
                <w:color w:val="000000"/>
                <w:sz w:val="24"/>
                <w:szCs w:val="24"/>
                <w:lang w:eastAsia="it-IT"/>
              </w:rPr>
              <w:drawing>
                <wp:inline distT="0" distB="0" distL="0" distR="0" wp14:anchorId="4E6484AE" wp14:editId="0142D6F0">
                  <wp:extent cx="723900" cy="828675"/>
                  <wp:effectExtent l="0" t="0" r="0" b="9525"/>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900" cy="828675"/>
                          </a:xfrm>
                          <a:prstGeom prst="rect">
                            <a:avLst/>
                          </a:prstGeom>
                          <a:noFill/>
                          <a:ln>
                            <a:noFill/>
                          </a:ln>
                        </pic:spPr>
                      </pic:pic>
                    </a:graphicData>
                  </a:graphic>
                </wp:inline>
              </w:drawing>
            </w:r>
          </w:p>
          <w:p w:rsidR="00B453D8" w:rsidRPr="00B453D8" w:rsidRDefault="00B453D8" w:rsidP="00B453D8">
            <w:pPr>
              <w:spacing w:before="100" w:beforeAutospacing="1" w:after="100" w:afterAutospacing="1" w:line="240" w:lineRule="auto"/>
              <w:jc w:val="center"/>
              <w:outlineLvl w:val="1"/>
              <w:rPr>
                <w:rFonts w:ascii="Garamond" w:eastAsia="Times New Roman" w:hAnsi="Garamond" w:cs="Arial"/>
                <w:b/>
                <w:bCs/>
                <w:color w:val="000000"/>
                <w:kern w:val="36"/>
                <w:sz w:val="24"/>
                <w:szCs w:val="24"/>
                <w:lang w:eastAsia="it-IT"/>
              </w:rPr>
            </w:pPr>
            <w:r w:rsidRPr="00B453D8">
              <w:rPr>
                <w:rFonts w:ascii="Garamond" w:eastAsia="Times New Roman" w:hAnsi="Garamond" w:cs="Arial"/>
                <w:b/>
                <w:bCs/>
                <w:color w:val="000000"/>
                <w:kern w:val="36"/>
                <w:sz w:val="24"/>
                <w:szCs w:val="24"/>
                <w:lang w:eastAsia="it-IT"/>
              </w:rPr>
              <w:t>REPUBBLICA ITALIANA</w:t>
            </w:r>
          </w:p>
          <w:p w:rsidR="00B453D8" w:rsidRPr="00B453D8" w:rsidRDefault="00B453D8" w:rsidP="00B453D8">
            <w:pPr>
              <w:spacing w:before="100" w:beforeAutospacing="1" w:after="100" w:afterAutospacing="1" w:line="240" w:lineRule="auto"/>
              <w:jc w:val="center"/>
              <w:rPr>
                <w:rFonts w:ascii="Garamond" w:eastAsia="Times New Roman" w:hAnsi="Garamond" w:cs="Arial"/>
                <w:b/>
                <w:bCs/>
                <w:color w:val="000000"/>
                <w:sz w:val="36"/>
                <w:szCs w:val="36"/>
                <w:lang w:eastAsia="it-IT"/>
              </w:rPr>
            </w:pPr>
            <w:r w:rsidRPr="00B453D8">
              <w:rPr>
                <w:rFonts w:ascii="Garamond" w:eastAsia="Times New Roman" w:hAnsi="Garamond" w:cs="Arial"/>
                <w:b/>
                <w:bCs/>
                <w:color w:val="000000"/>
                <w:sz w:val="36"/>
                <w:szCs w:val="36"/>
                <w:lang w:eastAsia="it-IT"/>
              </w:rPr>
              <w:t>Consiglio di Stato</w:t>
            </w:r>
          </w:p>
          <w:p w:rsidR="00B453D8" w:rsidRPr="00B453D8" w:rsidRDefault="00B453D8" w:rsidP="00B453D8">
            <w:pPr>
              <w:spacing w:before="100" w:beforeAutospacing="1" w:after="100" w:afterAutospacing="1" w:line="240" w:lineRule="auto"/>
              <w:jc w:val="center"/>
              <w:rPr>
                <w:rFonts w:ascii="Garamond" w:eastAsia="Times New Roman" w:hAnsi="Garamond" w:cs="Arial"/>
                <w:b/>
                <w:bCs/>
                <w:color w:val="000000"/>
                <w:sz w:val="26"/>
                <w:szCs w:val="26"/>
                <w:lang w:eastAsia="it-IT"/>
              </w:rPr>
            </w:pPr>
            <w:r w:rsidRPr="00B453D8">
              <w:rPr>
                <w:rFonts w:ascii="Garamond" w:eastAsia="Times New Roman" w:hAnsi="Garamond" w:cs="Arial"/>
                <w:b/>
                <w:bCs/>
                <w:color w:val="000000"/>
                <w:sz w:val="26"/>
                <w:szCs w:val="26"/>
                <w:lang w:eastAsia="it-IT"/>
              </w:rPr>
              <w:t>Sezione Consultiva per gli Atti Normativi</w:t>
            </w:r>
          </w:p>
          <w:p w:rsidR="00B453D8" w:rsidRPr="00B453D8" w:rsidRDefault="00B453D8" w:rsidP="00B453D8">
            <w:pPr>
              <w:spacing w:before="100" w:beforeAutospacing="1" w:after="100" w:afterAutospacing="1" w:line="240" w:lineRule="auto"/>
              <w:jc w:val="center"/>
              <w:rPr>
                <w:rFonts w:ascii="Garamond" w:eastAsia="Times New Roman" w:hAnsi="Garamond" w:cs="Arial"/>
                <w:b/>
                <w:bCs/>
                <w:color w:val="000000"/>
                <w:sz w:val="26"/>
                <w:szCs w:val="26"/>
                <w:lang w:eastAsia="it-IT"/>
              </w:rPr>
            </w:pPr>
            <w:r w:rsidRPr="00B453D8">
              <w:rPr>
                <w:rFonts w:ascii="Garamond" w:eastAsia="Times New Roman" w:hAnsi="Garamond" w:cs="Arial"/>
                <w:b/>
                <w:bCs/>
                <w:color w:val="000000"/>
                <w:sz w:val="26"/>
                <w:szCs w:val="26"/>
                <w:lang w:eastAsia="it-IT"/>
              </w:rPr>
              <w:t>Adunanza di Sezione del 14 gennaio 2016</w:t>
            </w:r>
          </w:p>
          <w:p w:rsidR="00B453D8" w:rsidRPr="00B453D8" w:rsidRDefault="00B453D8" w:rsidP="00B453D8">
            <w:pPr>
              <w:spacing w:after="0" w:line="240" w:lineRule="auto"/>
              <w:jc w:val="center"/>
              <w:rPr>
                <w:rFonts w:ascii="Arial" w:eastAsia="Times New Roman" w:hAnsi="Arial" w:cs="Arial"/>
                <w:b/>
                <w:bCs/>
                <w:color w:val="000000"/>
                <w:sz w:val="27"/>
                <w:szCs w:val="27"/>
                <w:lang w:eastAsia="it-IT"/>
              </w:rPr>
            </w:pPr>
          </w:p>
          <w:p w:rsidR="00B453D8" w:rsidRPr="00B453D8" w:rsidRDefault="00B453D8" w:rsidP="00B453D8">
            <w:pPr>
              <w:spacing w:before="100" w:beforeAutospacing="1" w:after="100" w:afterAutospacing="1" w:line="240" w:lineRule="auto"/>
              <w:jc w:val="center"/>
              <w:rPr>
                <w:rFonts w:ascii="Arial" w:eastAsia="Times New Roman" w:hAnsi="Arial" w:cs="Arial"/>
                <w:b/>
                <w:bCs/>
                <w:color w:val="000000"/>
                <w:sz w:val="27"/>
                <w:szCs w:val="27"/>
                <w:lang w:eastAsia="it-IT"/>
              </w:rPr>
            </w:pPr>
            <w:r w:rsidRPr="00B453D8">
              <w:rPr>
                <w:rFonts w:ascii="Arial" w:eastAsia="Times New Roman" w:hAnsi="Arial" w:cs="Arial"/>
                <w:b/>
                <w:bCs/>
                <w:color w:val="000000"/>
                <w:sz w:val="27"/>
                <w:szCs w:val="27"/>
                <w:lang w:eastAsia="it-IT"/>
              </w:rPr>
              <w:t>NUMERO AFFARE 01911/2015</w:t>
            </w:r>
          </w:p>
          <w:p w:rsidR="00B453D8" w:rsidRPr="00B453D8" w:rsidRDefault="00B453D8" w:rsidP="00B453D8">
            <w:pPr>
              <w:spacing w:after="0" w:line="520" w:lineRule="atLeast"/>
              <w:jc w:val="both"/>
              <w:rPr>
                <w:rFonts w:ascii="Garamond" w:eastAsia="Times New Roman" w:hAnsi="Garamond" w:cs="Arial"/>
                <w:color w:val="000000"/>
                <w:sz w:val="30"/>
                <w:szCs w:val="30"/>
                <w:lang w:eastAsia="it-IT"/>
              </w:rPr>
            </w:pPr>
            <w:r w:rsidRPr="00B453D8">
              <w:rPr>
                <w:rFonts w:ascii="Garamond" w:eastAsia="Times New Roman" w:hAnsi="Garamond" w:cs="Arial"/>
                <w:color w:val="000000"/>
                <w:sz w:val="30"/>
                <w:szCs w:val="30"/>
                <w:lang w:eastAsia="it-IT"/>
              </w:rPr>
              <w:t>OGGETTO:</w:t>
            </w:r>
          </w:p>
          <w:p w:rsidR="00B453D8" w:rsidRPr="00B453D8" w:rsidRDefault="00B453D8" w:rsidP="00B453D8">
            <w:pPr>
              <w:spacing w:after="0" w:line="520" w:lineRule="atLeast"/>
              <w:jc w:val="both"/>
              <w:rPr>
                <w:rFonts w:ascii="Garamond" w:eastAsia="Times New Roman" w:hAnsi="Garamond" w:cs="Arial"/>
                <w:color w:val="000000"/>
                <w:sz w:val="30"/>
                <w:szCs w:val="30"/>
                <w:lang w:eastAsia="it-IT"/>
              </w:rPr>
            </w:pPr>
            <w:r w:rsidRPr="00B453D8">
              <w:rPr>
                <w:rFonts w:ascii="Garamond" w:eastAsia="Times New Roman" w:hAnsi="Garamond" w:cs="Arial"/>
                <w:color w:val="000000"/>
                <w:sz w:val="30"/>
                <w:szCs w:val="30"/>
                <w:lang w:eastAsia="it-IT"/>
              </w:rPr>
              <w:t>Ministero dell'ambiente e della tutela del territorio e del mare, Ufficio legislativo.</w:t>
            </w:r>
          </w:p>
          <w:p w:rsidR="00B453D8" w:rsidRPr="00B453D8" w:rsidRDefault="00B453D8" w:rsidP="00B453D8">
            <w:pPr>
              <w:spacing w:after="0" w:line="240" w:lineRule="auto"/>
              <w:jc w:val="center"/>
              <w:rPr>
                <w:rFonts w:ascii="Arial" w:eastAsia="Times New Roman" w:hAnsi="Arial" w:cs="Arial"/>
                <w:color w:val="000000"/>
                <w:sz w:val="18"/>
                <w:szCs w:val="18"/>
                <w:lang w:eastAsia="it-IT"/>
              </w:rPr>
            </w:pPr>
          </w:p>
          <w:p w:rsidR="00B453D8" w:rsidRPr="00B453D8" w:rsidRDefault="00B453D8" w:rsidP="00B453D8">
            <w:pPr>
              <w:spacing w:after="300" w:line="520" w:lineRule="atLeast"/>
              <w:jc w:val="both"/>
              <w:rPr>
                <w:rFonts w:ascii="Garamond" w:eastAsia="Times New Roman" w:hAnsi="Garamond" w:cs="Arial"/>
                <w:color w:val="000000"/>
                <w:sz w:val="30"/>
                <w:szCs w:val="30"/>
                <w:lang w:eastAsia="it-IT"/>
              </w:rPr>
            </w:pPr>
            <w:r w:rsidRPr="0096156F">
              <w:rPr>
                <w:rFonts w:ascii="Garamond" w:eastAsia="Times New Roman" w:hAnsi="Garamond" w:cs="Arial"/>
                <w:color w:val="000000"/>
                <w:sz w:val="30"/>
                <w:szCs w:val="30"/>
                <w:highlight w:val="yellow"/>
                <w:lang w:eastAsia="it-IT"/>
              </w:rPr>
              <w:t>Schema di regolamento recante “inserimento di prodotti greggi o raffinati costituiti prevalentemente da gliceridi di origine animale nell’allegato X,</w:t>
            </w:r>
            <w:r w:rsidRPr="00B453D8">
              <w:rPr>
                <w:rFonts w:ascii="Garamond" w:eastAsia="Times New Roman" w:hAnsi="Garamond" w:cs="Arial"/>
                <w:color w:val="000000"/>
                <w:sz w:val="30"/>
                <w:szCs w:val="30"/>
                <w:lang w:eastAsia="it-IT"/>
              </w:rPr>
              <w:t xml:space="preserve"> parte II, sezione 4, paragrafo 1, alla parte quinta del decreto legislativo 152/2006", relativo alle biomasse combustibili;</w:t>
            </w:r>
          </w:p>
          <w:p w:rsidR="00B453D8" w:rsidRPr="00B453D8" w:rsidRDefault="00B453D8" w:rsidP="00B453D8">
            <w:pPr>
              <w:spacing w:before="100" w:beforeAutospacing="1" w:after="100" w:afterAutospacing="1" w:line="240" w:lineRule="auto"/>
              <w:jc w:val="center"/>
              <w:rPr>
                <w:rFonts w:ascii="Garamond" w:eastAsia="Times New Roman" w:hAnsi="Garamond" w:cs="Arial"/>
                <w:b/>
                <w:bCs/>
                <w:color w:val="000000"/>
                <w:sz w:val="26"/>
                <w:szCs w:val="26"/>
                <w:lang w:eastAsia="it-IT"/>
              </w:rPr>
            </w:pPr>
            <w:r w:rsidRPr="00B453D8">
              <w:rPr>
                <w:rFonts w:ascii="Garamond" w:eastAsia="Times New Roman" w:hAnsi="Garamond" w:cs="Arial"/>
                <w:b/>
                <w:bCs/>
                <w:color w:val="000000"/>
                <w:sz w:val="26"/>
                <w:szCs w:val="26"/>
                <w:lang w:eastAsia="it-IT"/>
              </w:rPr>
              <w:t>LA SEZIONE</w:t>
            </w:r>
          </w:p>
          <w:p w:rsidR="00B453D8" w:rsidRPr="00B453D8" w:rsidRDefault="00B453D8" w:rsidP="00B453D8">
            <w:pPr>
              <w:spacing w:after="0" w:line="520" w:lineRule="atLeast"/>
              <w:jc w:val="both"/>
              <w:rPr>
                <w:rFonts w:ascii="Garamond" w:eastAsia="Times New Roman" w:hAnsi="Garamond" w:cs="Arial"/>
                <w:color w:val="000000"/>
                <w:sz w:val="30"/>
                <w:szCs w:val="30"/>
                <w:lang w:eastAsia="it-IT"/>
              </w:rPr>
            </w:pPr>
            <w:r w:rsidRPr="00B453D8">
              <w:rPr>
                <w:rFonts w:ascii="Garamond" w:eastAsia="Times New Roman" w:hAnsi="Garamond" w:cs="Arial"/>
                <w:color w:val="000000"/>
                <w:sz w:val="30"/>
                <w:szCs w:val="30"/>
                <w:lang w:eastAsia="it-IT"/>
              </w:rPr>
              <w:t xml:space="preserve">Vista la nota di trasmissione della relazione </w:t>
            </w:r>
            <w:proofErr w:type="spellStart"/>
            <w:r w:rsidRPr="00B453D8">
              <w:rPr>
                <w:rFonts w:ascii="Garamond" w:eastAsia="Times New Roman" w:hAnsi="Garamond" w:cs="Arial"/>
                <w:color w:val="000000"/>
                <w:sz w:val="30"/>
                <w:szCs w:val="30"/>
                <w:lang w:eastAsia="it-IT"/>
              </w:rPr>
              <w:t>prot</w:t>
            </w:r>
            <w:proofErr w:type="spellEnd"/>
            <w:r w:rsidRPr="00B453D8">
              <w:rPr>
                <w:rFonts w:ascii="Garamond" w:eastAsia="Times New Roman" w:hAnsi="Garamond" w:cs="Arial"/>
                <w:color w:val="000000"/>
                <w:sz w:val="30"/>
                <w:szCs w:val="30"/>
                <w:lang w:eastAsia="it-IT"/>
              </w:rPr>
              <w:t>. n. 21801/GAB in data 5 novembre 2015, con la quale il Ministero dell'ambiente e della tutela del territorio e del mare, Ufficio legislativo, ha chiesto il parere del Consiglio di Stato sull'affare consultivo in oggetto;</w:t>
            </w:r>
          </w:p>
          <w:p w:rsidR="00B453D8" w:rsidRPr="00B453D8" w:rsidRDefault="00B453D8" w:rsidP="00B453D8">
            <w:pPr>
              <w:spacing w:after="0" w:line="520" w:lineRule="atLeast"/>
              <w:jc w:val="both"/>
              <w:rPr>
                <w:rFonts w:ascii="Garamond" w:eastAsia="Times New Roman" w:hAnsi="Garamond" w:cs="Arial"/>
                <w:color w:val="000000"/>
                <w:sz w:val="30"/>
                <w:szCs w:val="30"/>
                <w:lang w:eastAsia="it-IT"/>
              </w:rPr>
            </w:pPr>
            <w:r w:rsidRPr="00B453D8">
              <w:rPr>
                <w:rFonts w:ascii="Garamond" w:eastAsia="Times New Roman" w:hAnsi="Garamond" w:cs="Arial"/>
                <w:color w:val="000000"/>
                <w:sz w:val="30"/>
                <w:szCs w:val="30"/>
                <w:lang w:eastAsia="it-IT"/>
              </w:rPr>
              <w:t>Visto il parere interlocutorio del 19 novembre 2015, spedito col n. 3184/2015 in data 26 novembre 2015;</w:t>
            </w:r>
          </w:p>
          <w:p w:rsidR="00B453D8" w:rsidRPr="00B453D8" w:rsidRDefault="00B453D8" w:rsidP="00B453D8">
            <w:pPr>
              <w:spacing w:after="0" w:line="520" w:lineRule="atLeast"/>
              <w:jc w:val="both"/>
              <w:rPr>
                <w:rFonts w:ascii="Garamond" w:eastAsia="Times New Roman" w:hAnsi="Garamond" w:cs="Arial"/>
                <w:color w:val="000000"/>
                <w:sz w:val="30"/>
                <w:szCs w:val="30"/>
                <w:lang w:eastAsia="it-IT"/>
              </w:rPr>
            </w:pPr>
            <w:r w:rsidRPr="00B453D8">
              <w:rPr>
                <w:rFonts w:ascii="Garamond" w:eastAsia="Times New Roman" w:hAnsi="Garamond" w:cs="Arial"/>
                <w:color w:val="000000"/>
                <w:sz w:val="30"/>
                <w:szCs w:val="30"/>
                <w:lang w:eastAsia="it-IT"/>
              </w:rPr>
              <w:t xml:space="preserve">Vista la nota di adempimento, con allegata relazione integrativa e documentazione, </w:t>
            </w:r>
            <w:r w:rsidRPr="00B453D8">
              <w:rPr>
                <w:rFonts w:ascii="Garamond" w:eastAsia="Times New Roman" w:hAnsi="Garamond" w:cs="Arial"/>
                <w:color w:val="000000"/>
                <w:sz w:val="30"/>
                <w:szCs w:val="30"/>
                <w:lang w:eastAsia="it-IT"/>
              </w:rPr>
              <w:lastRenderedPageBreak/>
              <w:t xml:space="preserve">n. </w:t>
            </w:r>
            <w:proofErr w:type="spellStart"/>
            <w:r w:rsidRPr="00B453D8">
              <w:rPr>
                <w:rFonts w:ascii="Garamond" w:eastAsia="Times New Roman" w:hAnsi="Garamond" w:cs="Arial"/>
                <w:color w:val="000000"/>
                <w:sz w:val="30"/>
                <w:szCs w:val="30"/>
                <w:lang w:eastAsia="it-IT"/>
              </w:rPr>
              <w:t>prot</w:t>
            </w:r>
            <w:proofErr w:type="spellEnd"/>
            <w:r w:rsidRPr="00B453D8">
              <w:rPr>
                <w:rFonts w:ascii="Garamond" w:eastAsia="Times New Roman" w:hAnsi="Garamond" w:cs="Arial"/>
                <w:color w:val="000000"/>
                <w:sz w:val="30"/>
                <w:szCs w:val="30"/>
                <w:lang w:eastAsia="it-IT"/>
              </w:rPr>
              <w:t>. 25110 del 21 dicembre 2015;</w:t>
            </w:r>
          </w:p>
          <w:p w:rsidR="00B453D8" w:rsidRPr="00B453D8" w:rsidRDefault="00B453D8" w:rsidP="00B453D8">
            <w:pPr>
              <w:spacing w:after="0" w:line="520" w:lineRule="atLeast"/>
              <w:jc w:val="both"/>
              <w:rPr>
                <w:rFonts w:ascii="Garamond" w:eastAsia="Times New Roman" w:hAnsi="Garamond" w:cs="Arial"/>
                <w:color w:val="000000"/>
                <w:sz w:val="30"/>
                <w:szCs w:val="30"/>
                <w:lang w:eastAsia="it-IT"/>
              </w:rPr>
            </w:pPr>
            <w:r w:rsidRPr="00B453D8">
              <w:rPr>
                <w:rFonts w:ascii="Garamond" w:eastAsia="Times New Roman" w:hAnsi="Garamond" w:cs="Arial"/>
                <w:color w:val="000000"/>
                <w:sz w:val="30"/>
                <w:szCs w:val="30"/>
                <w:lang w:eastAsia="it-IT"/>
              </w:rPr>
              <w:t>Esaminati gli atti e udito il relatore, consigliere Gerardo Mastrandrea;</w:t>
            </w:r>
          </w:p>
          <w:p w:rsidR="00B453D8" w:rsidRPr="00B453D8" w:rsidRDefault="00B453D8" w:rsidP="00B453D8">
            <w:pPr>
              <w:spacing w:after="0" w:line="240" w:lineRule="auto"/>
              <w:jc w:val="center"/>
              <w:rPr>
                <w:rFonts w:ascii="Arial" w:eastAsia="Times New Roman" w:hAnsi="Arial" w:cs="Arial"/>
                <w:color w:val="000000"/>
                <w:sz w:val="18"/>
                <w:szCs w:val="18"/>
                <w:lang w:eastAsia="it-IT"/>
              </w:rPr>
            </w:pPr>
          </w:p>
          <w:p w:rsidR="00B453D8" w:rsidRPr="00301D76" w:rsidRDefault="00B453D8" w:rsidP="00B453D8">
            <w:pPr>
              <w:spacing w:after="0" w:line="520" w:lineRule="atLeast"/>
              <w:jc w:val="both"/>
              <w:rPr>
                <w:rFonts w:ascii="Garamond" w:eastAsia="Times New Roman" w:hAnsi="Garamond" w:cs="Arial"/>
                <w:b/>
                <w:color w:val="000000"/>
                <w:sz w:val="30"/>
                <w:szCs w:val="30"/>
                <w:lang w:eastAsia="it-IT"/>
              </w:rPr>
            </w:pPr>
            <w:r w:rsidRPr="00301D76">
              <w:rPr>
                <w:rFonts w:ascii="Garamond" w:eastAsia="Times New Roman" w:hAnsi="Garamond" w:cs="Arial"/>
                <w:b/>
                <w:color w:val="000000"/>
                <w:sz w:val="30"/>
                <w:szCs w:val="30"/>
                <w:lang w:eastAsia="it-IT"/>
              </w:rPr>
              <w:t>Premesso e considerato.</w:t>
            </w:r>
          </w:p>
          <w:p w:rsidR="00B453D8" w:rsidRPr="00B453D8" w:rsidRDefault="00B453D8" w:rsidP="00B453D8">
            <w:pPr>
              <w:spacing w:after="0" w:line="520" w:lineRule="atLeast"/>
              <w:jc w:val="both"/>
              <w:rPr>
                <w:rFonts w:ascii="Garamond" w:eastAsia="Times New Roman" w:hAnsi="Garamond" w:cs="Arial"/>
                <w:color w:val="000000"/>
                <w:sz w:val="30"/>
                <w:szCs w:val="30"/>
                <w:lang w:eastAsia="it-IT"/>
              </w:rPr>
            </w:pPr>
            <w:r w:rsidRPr="00B453D8">
              <w:rPr>
                <w:rFonts w:ascii="Garamond" w:eastAsia="Times New Roman" w:hAnsi="Garamond" w:cs="Arial"/>
                <w:color w:val="000000"/>
                <w:sz w:val="30"/>
                <w:szCs w:val="30"/>
                <w:lang w:eastAsia="it-IT"/>
              </w:rPr>
              <w:t xml:space="preserve">Con lo schema di regolamento in oggetto, predisposto ai sensi dell’articolo 298, comma 2, del decreto legislativo 3 aprile 2006, n. 152, e quindi, in base ad espresso rinvio, con le modalità previste dall’articolo 281, comma 5, del medesimo codice delle norme in materia ambientale (ovvero tramite decreto interministeriale di natura regolamentare), </w:t>
            </w:r>
            <w:r w:rsidRPr="00301D76">
              <w:rPr>
                <w:rFonts w:ascii="Garamond" w:eastAsia="Times New Roman" w:hAnsi="Garamond" w:cs="Arial"/>
                <w:b/>
                <w:color w:val="000000"/>
                <w:sz w:val="30"/>
                <w:szCs w:val="30"/>
                <w:lang w:eastAsia="it-IT"/>
              </w:rPr>
              <w:t>l’Amministrazione richiedente intende procedere all’inserimento di una nuova voce nell’ambito dell’elenco delle biomasse</w:t>
            </w:r>
            <w:r w:rsidRPr="00B453D8">
              <w:rPr>
                <w:rFonts w:ascii="Garamond" w:eastAsia="Times New Roman" w:hAnsi="Garamond" w:cs="Arial"/>
                <w:color w:val="000000"/>
                <w:sz w:val="30"/>
                <w:szCs w:val="30"/>
                <w:lang w:eastAsia="it-IT"/>
              </w:rPr>
              <w:t xml:space="preserve"> atte alla combustione, utilizzabili negli impianti industriali ed in quelli civili, di cui all’allegato X, parte II, sezione 4, paragrafo 1, alla parte quinta del predetto decreto legislativo.</w:t>
            </w:r>
          </w:p>
          <w:p w:rsidR="00B453D8" w:rsidRPr="00B453D8" w:rsidRDefault="00B453D8" w:rsidP="00B453D8">
            <w:pPr>
              <w:spacing w:after="0" w:line="520" w:lineRule="atLeast"/>
              <w:jc w:val="both"/>
              <w:rPr>
                <w:rFonts w:ascii="Garamond" w:eastAsia="Times New Roman" w:hAnsi="Garamond" w:cs="Arial"/>
                <w:color w:val="000000"/>
                <w:sz w:val="30"/>
                <w:szCs w:val="30"/>
                <w:lang w:eastAsia="it-IT"/>
              </w:rPr>
            </w:pPr>
            <w:r w:rsidRPr="00B453D8">
              <w:rPr>
                <w:rFonts w:ascii="Garamond" w:eastAsia="Times New Roman" w:hAnsi="Garamond" w:cs="Arial"/>
                <w:color w:val="000000"/>
                <w:sz w:val="30"/>
                <w:szCs w:val="30"/>
                <w:lang w:eastAsia="it-IT"/>
              </w:rPr>
              <w:t xml:space="preserve">In particolare, si intende inserire, con un unico articolo, nell’elenco di cui </w:t>
            </w:r>
            <w:r w:rsidRPr="00301D76">
              <w:rPr>
                <w:rFonts w:ascii="Garamond" w:eastAsia="Times New Roman" w:hAnsi="Garamond" w:cs="Arial"/>
                <w:b/>
                <w:color w:val="000000"/>
                <w:sz w:val="30"/>
                <w:szCs w:val="30"/>
                <w:lang w:eastAsia="it-IT"/>
              </w:rPr>
              <w:t>al</w:t>
            </w:r>
            <w:r w:rsidRPr="00301D76">
              <w:rPr>
                <w:rFonts w:ascii="Garamond" w:eastAsia="Times New Roman" w:hAnsi="Garamond" w:cs="Arial"/>
                <w:b/>
                <w:color w:val="000000"/>
                <w:sz w:val="30"/>
                <w:szCs w:val="30"/>
                <w:highlight w:val="yellow"/>
                <w:lang w:eastAsia="it-IT"/>
              </w:rPr>
              <w:t>l’Allegato X i “prodotti greggi o raffinati costituiti prevalentemente da gliceridi di origine animale”</w:t>
            </w:r>
            <w:r w:rsidRPr="00B453D8">
              <w:rPr>
                <w:rFonts w:ascii="Garamond" w:eastAsia="Times New Roman" w:hAnsi="Garamond" w:cs="Arial"/>
                <w:color w:val="000000"/>
                <w:sz w:val="30"/>
                <w:szCs w:val="30"/>
                <w:lang w:eastAsia="it-IT"/>
              </w:rPr>
              <w:t xml:space="preserve"> e i </w:t>
            </w:r>
            <w:r w:rsidRPr="00301D76">
              <w:rPr>
                <w:rFonts w:ascii="Garamond" w:eastAsia="Times New Roman" w:hAnsi="Garamond" w:cs="Arial"/>
                <w:b/>
                <w:color w:val="000000"/>
                <w:sz w:val="30"/>
                <w:szCs w:val="30"/>
                <w:lang w:eastAsia="it-IT"/>
              </w:rPr>
              <w:t>relativi prodotti derivati, qualificati dalle norme regolamentari europee come sottoprodotti di origine animale,</w:t>
            </w:r>
            <w:r w:rsidRPr="00B453D8">
              <w:rPr>
                <w:rFonts w:ascii="Garamond" w:eastAsia="Times New Roman" w:hAnsi="Garamond" w:cs="Arial"/>
                <w:color w:val="000000"/>
                <w:sz w:val="30"/>
                <w:szCs w:val="30"/>
                <w:lang w:eastAsia="it-IT"/>
              </w:rPr>
              <w:t xml:space="preserve"> che è possibile utilizzare nei processi di combustione, con l’applicazione, in ogni caso, delle metodologie di trasformazione, delle condizioni di combustione e delle altre condizioni prescritte da specifici Regolamenti europei (2011/142/UE e 2009/1069/CE), e comunque nel rispetto dei valori limite previsti in apposita tabella.</w:t>
            </w:r>
          </w:p>
          <w:p w:rsidR="00B453D8" w:rsidRPr="00B453D8" w:rsidRDefault="00B453D8" w:rsidP="00B453D8">
            <w:pPr>
              <w:spacing w:after="0" w:line="520" w:lineRule="atLeast"/>
              <w:jc w:val="both"/>
              <w:rPr>
                <w:rFonts w:ascii="Garamond" w:eastAsia="Times New Roman" w:hAnsi="Garamond" w:cs="Arial"/>
                <w:color w:val="000000"/>
                <w:sz w:val="30"/>
                <w:szCs w:val="30"/>
                <w:lang w:eastAsia="it-IT"/>
              </w:rPr>
            </w:pPr>
            <w:r w:rsidRPr="00CA6CEB">
              <w:rPr>
                <w:rFonts w:ascii="Garamond" w:eastAsia="Times New Roman" w:hAnsi="Garamond" w:cs="Arial"/>
                <w:b/>
                <w:color w:val="000000"/>
                <w:sz w:val="30"/>
                <w:szCs w:val="30"/>
                <w:lang w:eastAsia="it-IT"/>
              </w:rPr>
              <w:t xml:space="preserve">L’utilizzo di tali materiali come combustibili verrebbe escluso, in ogni caso, negli impianti termici civili </w:t>
            </w:r>
            <w:r w:rsidRPr="00B453D8">
              <w:rPr>
                <w:rFonts w:ascii="Garamond" w:eastAsia="Times New Roman" w:hAnsi="Garamond" w:cs="Arial"/>
                <w:color w:val="000000"/>
                <w:sz w:val="30"/>
                <w:szCs w:val="30"/>
                <w:lang w:eastAsia="it-IT"/>
              </w:rPr>
              <w:t>di cui alla parte quinta, titolo II, del decreto n. 152 del 2006.</w:t>
            </w:r>
          </w:p>
          <w:p w:rsidR="00B453D8" w:rsidRPr="00B453D8" w:rsidRDefault="00B453D8" w:rsidP="00B453D8">
            <w:pPr>
              <w:spacing w:after="0" w:line="520" w:lineRule="atLeast"/>
              <w:jc w:val="both"/>
              <w:rPr>
                <w:rFonts w:ascii="Garamond" w:eastAsia="Times New Roman" w:hAnsi="Garamond" w:cs="Arial"/>
                <w:color w:val="000000"/>
                <w:sz w:val="30"/>
                <w:szCs w:val="30"/>
                <w:lang w:eastAsia="it-IT"/>
              </w:rPr>
            </w:pPr>
            <w:r w:rsidRPr="00B453D8">
              <w:rPr>
                <w:rFonts w:ascii="Garamond" w:eastAsia="Times New Roman" w:hAnsi="Garamond" w:cs="Arial"/>
                <w:color w:val="000000"/>
                <w:sz w:val="30"/>
                <w:szCs w:val="30"/>
                <w:lang w:eastAsia="it-IT"/>
              </w:rPr>
              <w:t xml:space="preserve">Sul testo è stato acquisito il concerto (senza osservazioni) del Ministero dello sviluppo economico e del Ministero della salute, non quello del Ministero delle infrastrutture e dei trasporti, necessario per legge nei soli casi di materie ricadenti </w:t>
            </w:r>
            <w:r w:rsidRPr="00B453D8">
              <w:rPr>
                <w:rFonts w:ascii="Garamond" w:eastAsia="Times New Roman" w:hAnsi="Garamond" w:cs="Arial"/>
                <w:color w:val="000000"/>
                <w:sz w:val="30"/>
                <w:szCs w:val="30"/>
                <w:lang w:eastAsia="it-IT"/>
              </w:rPr>
              <w:lastRenderedPageBreak/>
              <w:t>nella relativa competenza.</w:t>
            </w:r>
          </w:p>
          <w:p w:rsidR="00B453D8" w:rsidRPr="00B453D8" w:rsidRDefault="00B453D8" w:rsidP="00B453D8">
            <w:pPr>
              <w:spacing w:after="0" w:line="520" w:lineRule="atLeast"/>
              <w:jc w:val="both"/>
              <w:rPr>
                <w:rFonts w:ascii="Garamond" w:eastAsia="Times New Roman" w:hAnsi="Garamond" w:cs="Arial"/>
                <w:color w:val="000000"/>
                <w:sz w:val="30"/>
                <w:szCs w:val="30"/>
                <w:lang w:eastAsia="it-IT"/>
              </w:rPr>
            </w:pPr>
            <w:r w:rsidRPr="00B453D8">
              <w:rPr>
                <w:rFonts w:ascii="Garamond" w:eastAsia="Times New Roman" w:hAnsi="Garamond" w:cs="Arial"/>
                <w:color w:val="000000"/>
                <w:sz w:val="30"/>
                <w:szCs w:val="30"/>
                <w:highlight w:val="yellow"/>
                <w:lang w:eastAsia="it-IT"/>
              </w:rPr>
              <w:t>La Conferenza unificata ha espresso parere favorevole nella seduta del 5 novembre 2015</w:t>
            </w:r>
            <w:r w:rsidRPr="00B453D8">
              <w:rPr>
                <w:rFonts w:ascii="Garamond" w:eastAsia="Times New Roman" w:hAnsi="Garamond" w:cs="Arial"/>
                <w:color w:val="000000"/>
                <w:sz w:val="30"/>
                <w:szCs w:val="30"/>
                <w:lang w:eastAsia="it-IT"/>
              </w:rPr>
              <w:t>.</w:t>
            </w:r>
          </w:p>
          <w:p w:rsidR="00B453D8" w:rsidRPr="00B453D8" w:rsidRDefault="00B453D8" w:rsidP="00B453D8">
            <w:pPr>
              <w:spacing w:after="0" w:line="520" w:lineRule="atLeast"/>
              <w:jc w:val="both"/>
              <w:rPr>
                <w:rFonts w:ascii="Garamond" w:eastAsia="Times New Roman" w:hAnsi="Garamond" w:cs="Arial"/>
                <w:color w:val="000000"/>
                <w:sz w:val="30"/>
                <w:szCs w:val="30"/>
                <w:lang w:eastAsia="it-IT"/>
              </w:rPr>
            </w:pPr>
            <w:r w:rsidRPr="00B453D8">
              <w:rPr>
                <w:rFonts w:ascii="Garamond" w:eastAsia="Times New Roman" w:hAnsi="Garamond" w:cs="Arial"/>
                <w:color w:val="000000"/>
                <w:sz w:val="30"/>
                <w:szCs w:val="30"/>
                <w:lang w:eastAsia="it-IT"/>
              </w:rPr>
              <w:t>Ciò posto, la Sezione ha avuto modo di osservare che la stessa Amministrazione riferisce di come la genesi del provvedimento sia stata lunga e piuttosto complessa, con quesiti e sollecitazioni pervenuti da Amministrazioni regionali, diversi Enti locali ed associazioni di categoria, oltre che da operatori del settore.</w:t>
            </w:r>
          </w:p>
          <w:p w:rsidR="00B453D8" w:rsidRPr="00CA6CEB" w:rsidRDefault="00B453D8" w:rsidP="00B453D8">
            <w:pPr>
              <w:spacing w:after="0" w:line="520" w:lineRule="atLeast"/>
              <w:jc w:val="both"/>
              <w:rPr>
                <w:rFonts w:ascii="Garamond" w:eastAsia="Times New Roman" w:hAnsi="Garamond" w:cs="Arial"/>
                <w:b/>
                <w:color w:val="000000"/>
                <w:sz w:val="30"/>
                <w:szCs w:val="30"/>
                <w:lang w:eastAsia="it-IT"/>
              </w:rPr>
            </w:pPr>
            <w:r w:rsidRPr="00B453D8">
              <w:rPr>
                <w:rFonts w:ascii="Garamond" w:eastAsia="Times New Roman" w:hAnsi="Garamond" w:cs="Arial"/>
                <w:color w:val="000000"/>
                <w:sz w:val="30"/>
                <w:szCs w:val="30"/>
                <w:lang w:eastAsia="it-IT"/>
              </w:rPr>
              <w:t xml:space="preserve">L’istruttoria tecnica, che ha portato all’elaborazione dello schema di decreto, è stata, dunque, particolarmente laboriosa ed ha occupato diverse riunioni di coordinamento fin dal 2013, al fine di individuare adeguatamente le caratteristiche </w:t>
            </w:r>
            <w:r w:rsidRPr="00B453D8">
              <w:rPr>
                <w:rFonts w:ascii="Garamond" w:eastAsia="Times New Roman" w:hAnsi="Garamond" w:cs="Arial"/>
                <w:color w:val="000000"/>
                <w:sz w:val="30"/>
                <w:szCs w:val="30"/>
                <w:highlight w:val="yellow"/>
                <w:lang w:eastAsia="it-IT"/>
              </w:rPr>
              <w:t xml:space="preserve">merceologiche e le condizioni di utilizzo </w:t>
            </w:r>
            <w:r w:rsidRPr="00CA6CEB">
              <w:rPr>
                <w:rFonts w:ascii="Garamond" w:eastAsia="Times New Roman" w:hAnsi="Garamond" w:cs="Arial"/>
                <w:b/>
                <w:color w:val="000000"/>
                <w:sz w:val="30"/>
                <w:szCs w:val="30"/>
                <w:highlight w:val="yellow"/>
                <w:lang w:eastAsia="it-IT"/>
              </w:rPr>
              <w:t>perché l’utilizzo dei grassi animali come combustibile potesse avvenire in maniera compatibile con le esigenze di tutela dell’ambiente e della salute pubblica.</w:t>
            </w:r>
          </w:p>
          <w:p w:rsidR="00B453D8" w:rsidRPr="00B453D8" w:rsidRDefault="00B453D8" w:rsidP="00B453D8">
            <w:pPr>
              <w:spacing w:after="0" w:line="520" w:lineRule="atLeast"/>
              <w:jc w:val="both"/>
              <w:rPr>
                <w:rFonts w:ascii="Garamond" w:eastAsia="Times New Roman" w:hAnsi="Garamond" w:cs="Arial"/>
                <w:color w:val="000000"/>
                <w:sz w:val="30"/>
                <w:szCs w:val="30"/>
                <w:lang w:eastAsia="it-IT"/>
              </w:rPr>
            </w:pPr>
            <w:r w:rsidRPr="00B453D8">
              <w:rPr>
                <w:rFonts w:ascii="Garamond" w:eastAsia="Times New Roman" w:hAnsi="Garamond" w:cs="Arial"/>
                <w:color w:val="000000"/>
                <w:sz w:val="30"/>
                <w:szCs w:val="30"/>
                <w:lang w:eastAsia="it-IT"/>
              </w:rPr>
              <w:t xml:space="preserve">A tal proposito, anche in questa sede occorre rimarcare che la normativa comunitaria di riferimento (i richiamati Regolamento 2009/1069 e Regolamento attuativo 2011/142) </w:t>
            </w:r>
            <w:r w:rsidRPr="00CA6CEB">
              <w:rPr>
                <w:rFonts w:ascii="Garamond" w:eastAsia="Times New Roman" w:hAnsi="Garamond" w:cs="Arial"/>
                <w:b/>
                <w:color w:val="000000"/>
                <w:sz w:val="30"/>
                <w:szCs w:val="30"/>
                <w:highlight w:val="yellow"/>
                <w:lang w:eastAsia="it-IT"/>
              </w:rPr>
              <w:t>è diretta a disciplinare solo sotto il profilo sanitario</w:t>
            </w:r>
            <w:r w:rsidRPr="00CA6CEB">
              <w:rPr>
                <w:rFonts w:ascii="Garamond" w:eastAsia="Times New Roman" w:hAnsi="Garamond" w:cs="Arial"/>
                <w:b/>
                <w:color w:val="000000"/>
                <w:sz w:val="30"/>
                <w:szCs w:val="30"/>
                <w:lang w:eastAsia="it-IT"/>
              </w:rPr>
              <w:t xml:space="preserve"> </w:t>
            </w:r>
            <w:r w:rsidRPr="00B453D8">
              <w:rPr>
                <w:rFonts w:ascii="Garamond" w:eastAsia="Times New Roman" w:hAnsi="Garamond" w:cs="Arial"/>
                <w:color w:val="000000"/>
                <w:sz w:val="30"/>
                <w:szCs w:val="30"/>
                <w:lang w:eastAsia="it-IT"/>
              </w:rPr>
              <w:t xml:space="preserve">l’utilizzazione, inclusa la combustione, dei sottoprodotti di origine animale e relativi derivati, categoria nel cui ambito ricadono i grassi di origine animale di cui si discute. </w:t>
            </w:r>
            <w:r w:rsidRPr="00B453D8">
              <w:rPr>
                <w:rFonts w:ascii="Garamond" w:eastAsia="Times New Roman" w:hAnsi="Garamond" w:cs="Arial"/>
                <w:color w:val="000000"/>
                <w:sz w:val="30"/>
                <w:szCs w:val="30"/>
                <w:highlight w:val="yellow"/>
                <w:lang w:eastAsia="it-IT"/>
              </w:rPr>
              <w:t>Tale disciplina non attiene, però, agli aspetti ambientali.</w:t>
            </w:r>
          </w:p>
          <w:p w:rsidR="00B453D8" w:rsidRPr="007D1838" w:rsidRDefault="00B453D8" w:rsidP="00B453D8">
            <w:pPr>
              <w:spacing w:after="0" w:line="520" w:lineRule="atLeast"/>
              <w:jc w:val="both"/>
              <w:rPr>
                <w:rFonts w:ascii="Garamond" w:eastAsia="Times New Roman" w:hAnsi="Garamond" w:cs="Arial"/>
                <w:b/>
                <w:color w:val="000000"/>
                <w:sz w:val="30"/>
                <w:szCs w:val="30"/>
                <w:lang w:eastAsia="it-IT"/>
              </w:rPr>
            </w:pPr>
            <w:r w:rsidRPr="00B453D8">
              <w:rPr>
                <w:rFonts w:ascii="Garamond" w:eastAsia="Times New Roman" w:hAnsi="Garamond" w:cs="Arial"/>
                <w:color w:val="000000"/>
                <w:sz w:val="30"/>
                <w:szCs w:val="30"/>
                <w:lang w:eastAsia="it-IT"/>
              </w:rPr>
              <w:t xml:space="preserve">Ciò nondimeno, ha evidenziato il Ministero, lo schema di decreto fa riferimento, nell’ambito dei grassi animali, ai soli prodotti greggi o raffinati costituiti prevalentemente </w:t>
            </w:r>
            <w:r w:rsidRPr="007D1838">
              <w:rPr>
                <w:rFonts w:ascii="Garamond" w:eastAsia="Times New Roman" w:hAnsi="Garamond" w:cs="Arial"/>
                <w:b/>
                <w:color w:val="000000"/>
                <w:sz w:val="30"/>
                <w:szCs w:val="30"/>
                <w:highlight w:val="yellow"/>
                <w:lang w:eastAsia="it-IT"/>
              </w:rPr>
              <w:t>da gliceridi di origine animale ritenuti dalla specifica tecnica UNI/TS 11163 di maggior pregio sul piano energetico (prodotti assegnati alle classi A e B).</w:t>
            </w:r>
          </w:p>
          <w:p w:rsidR="00B453D8" w:rsidRPr="00B453D8" w:rsidRDefault="00B453D8" w:rsidP="00B453D8">
            <w:pPr>
              <w:spacing w:after="0" w:line="520" w:lineRule="atLeast"/>
              <w:jc w:val="both"/>
              <w:rPr>
                <w:rFonts w:ascii="Garamond" w:eastAsia="Times New Roman" w:hAnsi="Garamond" w:cs="Arial"/>
                <w:color w:val="000000"/>
                <w:sz w:val="30"/>
                <w:szCs w:val="30"/>
                <w:lang w:eastAsia="it-IT"/>
              </w:rPr>
            </w:pPr>
            <w:r w:rsidRPr="00B453D8">
              <w:rPr>
                <w:rFonts w:ascii="Garamond" w:eastAsia="Times New Roman" w:hAnsi="Garamond" w:cs="Arial"/>
                <w:color w:val="000000"/>
                <w:sz w:val="30"/>
                <w:szCs w:val="30"/>
                <w:lang w:eastAsia="it-IT"/>
              </w:rPr>
              <w:t xml:space="preserve">Orbene, nel prendere atto del divieto espresso di utilizzo di tali sottoprodotti negli impianti termici civili, è sembrato nondimeno alla Sezione necessario, ai fini del rilascio </w:t>
            </w:r>
            <w:r w:rsidRPr="00B453D8">
              <w:rPr>
                <w:rFonts w:ascii="Garamond" w:eastAsia="Times New Roman" w:hAnsi="Garamond" w:cs="Arial"/>
                <w:color w:val="000000"/>
                <w:sz w:val="30"/>
                <w:szCs w:val="30"/>
                <w:highlight w:val="yellow"/>
                <w:lang w:eastAsia="it-IT"/>
              </w:rPr>
              <w:t>del parere definitivo, acquisire elementi di approfondimento,</w:t>
            </w:r>
            <w:r w:rsidRPr="00B453D8">
              <w:rPr>
                <w:rFonts w:ascii="Garamond" w:eastAsia="Times New Roman" w:hAnsi="Garamond" w:cs="Arial"/>
                <w:color w:val="000000"/>
                <w:sz w:val="30"/>
                <w:szCs w:val="30"/>
                <w:lang w:eastAsia="it-IT"/>
              </w:rPr>
              <w:t xml:space="preserve"> ed in </w:t>
            </w:r>
            <w:r w:rsidRPr="00B453D8">
              <w:rPr>
                <w:rFonts w:ascii="Garamond" w:eastAsia="Times New Roman" w:hAnsi="Garamond" w:cs="Arial"/>
                <w:color w:val="000000"/>
                <w:sz w:val="30"/>
                <w:szCs w:val="30"/>
                <w:lang w:eastAsia="it-IT"/>
              </w:rPr>
              <w:lastRenderedPageBreak/>
              <w:t>particolare una dettagliata e d</w:t>
            </w:r>
            <w:r w:rsidRPr="000E21F9">
              <w:rPr>
                <w:rFonts w:ascii="Garamond" w:eastAsia="Times New Roman" w:hAnsi="Garamond" w:cs="Arial"/>
                <w:b/>
                <w:color w:val="000000"/>
                <w:sz w:val="30"/>
                <w:szCs w:val="30"/>
                <w:lang w:eastAsia="it-IT"/>
              </w:rPr>
              <w:t>ocumentata relazione integrativa</w:t>
            </w:r>
            <w:r w:rsidRPr="00B453D8">
              <w:rPr>
                <w:rFonts w:ascii="Garamond" w:eastAsia="Times New Roman" w:hAnsi="Garamond" w:cs="Arial"/>
                <w:color w:val="000000"/>
                <w:sz w:val="30"/>
                <w:szCs w:val="30"/>
                <w:lang w:eastAsia="it-IT"/>
              </w:rPr>
              <w:t>, corredata dai relativi allegati, predisposta a cura dell’Amministrazione di riferimento, sentiti se del caso gli organi tecnici competenti facenti capo anche alle altre Amministrazioni, che desse conto nello specifico:</w:t>
            </w:r>
          </w:p>
          <w:p w:rsidR="00B453D8" w:rsidRPr="00B453D8" w:rsidRDefault="00B453D8" w:rsidP="00B453D8">
            <w:pPr>
              <w:spacing w:after="0" w:line="520" w:lineRule="atLeast"/>
              <w:jc w:val="both"/>
              <w:rPr>
                <w:rFonts w:ascii="Garamond" w:eastAsia="Times New Roman" w:hAnsi="Garamond" w:cs="Arial"/>
                <w:color w:val="000000"/>
                <w:sz w:val="30"/>
                <w:szCs w:val="30"/>
                <w:lang w:eastAsia="it-IT"/>
              </w:rPr>
            </w:pPr>
            <w:r w:rsidRPr="00B453D8">
              <w:rPr>
                <w:rFonts w:ascii="Garamond" w:eastAsia="Times New Roman" w:hAnsi="Garamond" w:cs="Arial"/>
                <w:color w:val="000000"/>
                <w:sz w:val="30"/>
                <w:szCs w:val="30"/>
                <w:lang w:eastAsia="it-IT"/>
              </w:rPr>
              <w:t>- delle richieste degli operatori del settore e del lavoro di coordinamento tecnico curato in proposito insieme a Regioni ed Enti locali;</w:t>
            </w:r>
          </w:p>
          <w:p w:rsidR="00B453D8" w:rsidRPr="000E21F9" w:rsidRDefault="00B453D8" w:rsidP="00B453D8">
            <w:pPr>
              <w:spacing w:after="0" w:line="520" w:lineRule="atLeast"/>
              <w:jc w:val="both"/>
              <w:rPr>
                <w:rFonts w:ascii="Garamond" w:eastAsia="Times New Roman" w:hAnsi="Garamond" w:cs="Arial"/>
                <w:b/>
                <w:color w:val="000000"/>
                <w:sz w:val="30"/>
                <w:szCs w:val="30"/>
                <w:lang w:eastAsia="it-IT"/>
              </w:rPr>
            </w:pPr>
            <w:r w:rsidRPr="00B453D8">
              <w:rPr>
                <w:rFonts w:ascii="Garamond" w:eastAsia="Times New Roman" w:hAnsi="Garamond" w:cs="Arial"/>
                <w:color w:val="000000"/>
                <w:sz w:val="30"/>
                <w:szCs w:val="30"/>
                <w:lang w:eastAsia="it-IT"/>
              </w:rPr>
              <w:t xml:space="preserve">- </w:t>
            </w:r>
            <w:r w:rsidRPr="000E21F9">
              <w:rPr>
                <w:rFonts w:ascii="Garamond" w:eastAsia="Times New Roman" w:hAnsi="Garamond" w:cs="Arial"/>
                <w:b/>
                <w:color w:val="000000"/>
                <w:sz w:val="30"/>
                <w:szCs w:val="30"/>
                <w:lang w:eastAsia="it-IT"/>
              </w:rPr>
              <w:t>delle valutazioni di ragionevolezza</w:t>
            </w:r>
            <w:r w:rsidRPr="00B453D8">
              <w:rPr>
                <w:rFonts w:ascii="Garamond" w:eastAsia="Times New Roman" w:hAnsi="Garamond" w:cs="Arial"/>
                <w:color w:val="000000"/>
                <w:sz w:val="30"/>
                <w:szCs w:val="30"/>
                <w:lang w:eastAsia="it-IT"/>
              </w:rPr>
              <w:t xml:space="preserve"> che la stessa Amministrazione ha effettuato in sede tecnica al fine di accedere alle richieste di integrazione delle </w:t>
            </w:r>
            <w:r w:rsidRPr="000E21F9">
              <w:rPr>
                <w:rFonts w:ascii="Garamond" w:eastAsia="Times New Roman" w:hAnsi="Garamond" w:cs="Arial"/>
                <w:b/>
                <w:color w:val="000000"/>
                <w:sz w:val="30"/>
                <w:szCs w:val="30"/>
                <w:lang w:eastAsia="it-IT"/>
              </w:rPr>
              <w:t>biomasse combustibili;</w:t>
            </w:r>
          </w:p>
          <w:p w:rsidR="00B453D8" w:rsidRPr="00B453D8" w:rsidRDefault="00B453D8" w:rsidP="00B453D8">
            <w:pPr>
              <w:spacing w:after="0" w:line="520" w:lineRule="atLeast"/>
              <w:jc w:val="both"/>
              <w:rPr>
                <w:rFonts w:ascii="Garamond" w:eastAsia="Times New Roman" w:hAnsi="Garamond" w:cs="Arial"/>
                <w:color w:val="000000"/>
                <w:sz w:val="30"/>
                <w:szCs w:val="30"/>
                <w:lang w:eastAsia="it-IT"/>
              </w:rPr>
            </w:pPr>
            <w:r w:rsidRPr="007D1838">
              <w:rPr>
                <w:rFonts w:ascii="Garamond" w:eastAsia="Times New Roman" w:hAnsi="Garamond" w:cs="Arial"/>
                <w:color w:val="000000"/>
                <w:sz w:val="30"/>
                <w:szCs w:val="30"/>
                <w:highlight w:val="yellow"/>
                <w:lang w:eastAsia="it-IT"/>
              </w:rPr>
              <w:t xml:space="preserve">- di come sono stati affrontati i </w:t>
            </w:r>
            <w:r w:rsidRPr="007D1838">
              <w:rPr>
                <w:rFonts w:ascii="Garamond" w:eastAsia="Times New Roman" w:hAnsi="Garamond" w:cs="Arial"/>
                <w:b/>
                <w:color w:val="000000"/>
                <w:sz w:val="30"/>
                <w:szCs w:val="30"/>
                <w:highlight w:val="yellow"/>
                <w:lang w:eastAsia="it-IT"/>
              </w:rPr>
              <w:t xml:space="preserve">profili di compatibilità ambientale </w:t>
            </w:r>
            <w:r w:rsidRPr="007D1838">
              <w:rPr>
                <w:rFonts w:ascii="Garamond" w:eastAsia="Times New Roman" w:hAnsi="Garamond" w:cs="Arial"/>
                <w:color w:val="000000"/>
                <w:sz w:val="30"/>
                <w:szCs w:val="30"/>
                <w:highlight w:val="yellow"/>
                <w:lang w:eastAsia="it-IT"/>
              </w:rPr>
              <w:t>e di quale tipologia di controlli si prevede di effettuare al fine di evitare che la combustione anche di questa tipologia di sottoprodotti non si riverberi negativamente sui contesti ambientali interessati, a volte già gravemente compromessi.</w:t>
            </w:r>
          </w:p>
          <w:p w:rsidR="00B453D8" w:rsidRPr="00B453D8" w:rsidRDefault="00B453D8" w:rsidP="00B453D8">
            <w:pPr>
              <w:spacing w:after="0" w:line="520" w:lineRule="atLeast"/>
              <w:jc w:val="both"/>
              <w:rPr>
                <w:rFonts w:ascii="Garamond" w:eastAsia="Times New Roman" w:hAnsi="Garamond" w:cs="Arial"/>
                <w:color w:val="000000"/>
                <w:sz w:val="30"/>
                <w:szCs w:val="30"/>
                <w:lang w:eastAsia="it-IT"/>
              </w:rPr>
            </w:pPr>
            <w:r w:rsidRPr="00B453D8">
              <w:rPr>
                <w:rFonts w:ascii="Garamond" w:eastAsia="Times New Roman" w:hAnsi="Garamond" w:cs="Arial"/>
                <w:color w:val="000000"/>
                <w:sz w:val="30"/>
                <w:szCs w:val="30"/>
                <w:lang w:eastAsia="it-IT"/>
              </w:rPr>
              <w:t>Con nota del 21 dicembre 2015, il Ministero richiedente ha adempiuto, allegando relazione integrativa e note di ASSITOL (Associazione italiana dell’industria olearia, aderente a Confindustria) in data 16 luglio 2013, nonché del C.O.N.O.E. (Consorzio obbligatorio nazionale di raccolta e trattamento oli e grassi vegetali e animali esausti) in data 26 luglio 2013.</w:t>
            </w:r>
          </w:p>
          <w:p w:rsidR="00B453D8" w:rsidRPr="00B453D8" w:rsidRDefault="00B453D8" w:rsidP="00B453D8">
            <w:pPr>
              <w:spacing w:after="0" w:line="520" w:lineRule="atLeast"/>
              <w:jc w:val="both"/>
              <w:rPr>
                <w:rFonts w:ascii="Garamond" w:eastAsia="Times New Roman" w:hAnsi="Garamond" w:cs="Arial"/>
                <w:color w:val="000000"/>
                <w:sz w:val="30"/>
                <w:szCs w:val="30"/>
                <w:lang w:eastAsia="it-IT"/>
              </w:rPr>
            </w:pPr>
            <w:r w:rsidRPr="00B453D8">
              <w:rPr>
                <w:rFonts w:ascii="Garamond" w:eastAsia="Times New Roman" w:hAnsi="Garamond" w:cs="Arial"/>
                <w:color w:val="000000"/>
                <w:sz w:val="30"/>
                <w:szCs w:val="30"/>
                <w:lang w:eastAsia="it-IT"/>
              </w:rPr>
              <w:t xml:space="preserve">La Sezione non può che prendere atto degli ulteriori elementi e chiarimenti forniti in ordine al complesso procedimento istruttorio che ha portato l’Amministrazione ad assumere l’iniziativa di proporre l’integrazione delle </w:t>
            </w:r>
            <w:r w:rsidRPr="00AC6FBE">
              <w:rPr>
                <w:rFonts w:ascii="Garamond" w:eastAsia="Times New Roman" w:hAnsi="Garamond" w:cs="Arial"/>
                <w:b/>
                <w:color w:val="000000"/>
                <w:sz w:val="30"/>
                <w:szCs w:val="30"/>
                <w:lang w:eastAsia="it-IT"/>
              </w:rPr>
              <w:t>biomasse combustibili</w:t>
            </w:r>
            <w:r w:rsidRPr="00B453D8">
              <w:rPr>
                <w:rFonts w:ascii="Garamond" w:eastAsia="Times New Roman" w:hAnsi="Garamond" w:cs="Arial"/>
                <w:color w:val="000000"/>
                <w:sz w:val="30"/>
                <w:szCs w:val="30"/>
                <w:lang w:eastAsia="it-IT"/>
              </w:rPr>
              <w:t xml:space="preserve"> nel senso di cui si discute, dando seguito ai quesiti interpretativi proposti da varie Amministrazioni locali e, </w:t>
            </w:r>
            <w:r w:rsidRPr="000E21F9">
              <w:rPr>
                <w:rFonts w:ascii="Garamond" w:eastAsia="Times New Roman" w:hAnsi="Garamond" w:cs="Arial"/>
                <w:b/>
                <w:color w:val="000000"/>
                <w:sz w:val="30"/>
                <w:szCs w:val="30"/>
                <w:lang w:eastAsia="it-IT"/>
              </w:rPr>
              <w:t>non da ultimo, alle istanze degli operatori del settore, che hanno anche chiesto di essere coinvolti nei lavori istruttori di approfondimento</w:t>
            </w:r>
            <w:r w:rsidRPr="00B453D8">
              <w:rPr>
                <w:rFonts w:ascii="Garamond" w:eastAsia="Times New Roman" w:hAnsi="Garamond" w:cs="Arial"/>
                <w:color w:val="000000"/>
                <w:sz w:val="30"/>
                <w:szCs w:val="30"/>
                <w:lang w:eastAsia="it-IT"/>
              </w:rPr>
              <w:t xml:space="preserve"> portati avanti dal tavolo tecnico di coordinamento (l’Amministrazione segnala, in proposito, che </w:t>
            </w:r>
            <w:r w:rsidRPr="000E21F9">
              <w:rPr>
                <w:rFonts w:ascii="Garamond" w:eastAsia="Times New Roman" w:hAnsi="Garamond" w:cs="Arial"/>
                <w:b/>
                <w:color w:val="000000"/>
                <w:sz w:val="30"/>
                <w:szCs w:val="30"/>
                <w:highlight w:val="yellow"/>
                <w:lang w:eastAsia="it-IT"/>
              </w:rPr>
              <w:t xml:space="preserve">l’apposita Commissione interministeriale deputata all'esame delle proposte di integrazione ed </w:t>
            </w:r>
            <w:r w:rsidRPr="000E21F9">
              <w:rPr>
                <w:rFonts w:ascii="Garamond" w:eastAsia="Times New Roman" w:hAnsi="Garamond" w:cs="Arial"/>
                <w:b/>
                <w:color w:val="000000"/>
                <w:sz w:val="30"/>
                <w:szCs w:val="30"/>
                <w:highlight w:val="yellow"/>
                <w:lang w:eastAsia="it-IT"/>
              </w:rPr>
              <w:lastRenderedPageBreak/>
              <w:t>aggiornamento</w:t>
            </w:r>
            <w:r w:rsidRPr="00B453D8">
              <w:rPr>
                <w:rFonts w:ascii="Garamond" w:eastAsia="Times New Roman" w:hAnsi="Garamond" w:cs="Arial"/>
                <w:color w:val="000000"/>
                <w:sz w:val="30"/>
                <w:szCs w:val="30"/>
                <w:lang w:eastAsia="it-IT"/>
              </w:rPr>
              <w:t xml:space="preserve"> </w:t>
            </w:r>
            <w:r w:rsidRPr="00BF7AC7">
              <w:rPr>
                <w:rFonts w:ascii="Garamond" w:eastAsia="Times New Roman" w:hAnsi="Garamond" w:cs="Arial"/>
                <w:b/>
                <w:color w:val="000000"/>
                <w:sz w:val="30"/>
                <w:szCs w:val="30"/>
                <w:highlight w:val="yellow"/>
                <w:lang w:eastAsia="it-IT"/>
              </w:rPr>
              <w:t>dell'Allegato X, prevista dall’articolo 298, comma 2-ter, del codice delle norme ambientali di cui al d.lgs. 152/2006, non è stata mai istituita</w:t>
            </w:r>
            <w:r w:rsidRPr="00BF7AC7">
              <w:rPr>
                <w:rFonts w:ascii="Garamond" w:eastAsia="Times New Roman" w:hAnsi="Garamond" w:cs="Arial"/>
                <w:b/>
                <w:color w:val="000000"/>
                <w:sz w:val="30"/>
                <w:szCs w:val="30"/>
                <w:lang w:eastAsia="it-IT"/>
              </w:rPr>
              <w:t xml:space="preserve"> </w:t>
            </w:r>
            <w:r w:rsidRPr="00B453D8">
              <w:rPr>
                <w:rFonts w:ascii="Garamond" w:eastAsia="Times New Roman" w:hAnsi="Garamond" w:cs="Arial"/>
                <w:color w:val="000000"/>
                <w:sz w:val="30"/>
                <w:szCs w:val="30"/>
                <w:lang w:eastAsia="it-IT"/>
              </w:rPr>
              <w:t xml:space="preserve">e pertanto il coordinamento è avvenuto nella sede deputata a coordinare autorità statali, regionali e locali competenti in tema di </w:t>
            </w:r>
            <w:r w:rsidRPr="00AC6FBE">
              <w:rPr>
                <w:rFonts w:ascii="Garamond" w:eastAsia="Times New Roman" w:hAnsi="Garamond" w:cs="Arial"/>
                <w:b/>
                <w:color w:val="000000"/>
                <w:sz w:val="30"/>
                <w:szCs w:val="30"/>
                <w:lang w:eastAsia="it-IT"/>
              </w:rPr>
              <w:t>emissioni in atmosfera</w:t>
            </w:r>
            <w:r w:rsidRPr="00B453D8">
              <w:rPr>
                <w:rFonts w:ascii="Garamond" w:eastAsia="Times New Roman" w:hAnsi="Garamond" w:cs="Arial"/>
                <w:color w:val="000000"/>
                <w:sz w:val="30"/>
                <w:szCs w:val="30"/>
                <w:lang w:eastAsia="it-IT"/>
              </w:rPr>
              <w:t>, ai sensi del d.lgs. n. 155 del 2010).</w:t>
            </w:r>
          </w:p>
          <w:p w:rsidR="00B453D8" w:rsidRPr="00B453D8" w:rsidRDefault="00B453D8" w:rsidP="00B453D8">
            <w:pPr>
              <w:spacing w:after="0" w:line="520" w:lineRule="atLeast"/>
              <w:jc w:val="both"/>
              <w:rPr>
                <w:rFonts w:ascii="Garamond" w:eastAsia="Times New Roman" w:hAnsi="Garamond" w:cs="Arial"/>
                <w:color w:val="000000"/>
                <w:sz w:val="30"/>
                <w:szCs w:val="30"/>
                <w:lang w:eastAsia="it-IT"/>
              </w:rPr>
            </w:pPr>
            <w:r w:rsidRPr="00B453D8">
              <w:rPr>
                <w:rFonts w:ascii="Garamond" w:eastAsia="Times New Roman" w:hAnsi="Garamond" w:cs="Arial"/>
                <w:color w:val="000000"/>
                <w:sz w:val="30"/>
                <w:szCs w:val="30"/>
                <w:lang w:eastAsia="it-IT"/>
              </w:rPr>
              <w:t xml:space="preserve">L’istruttoria, conferma l’Amministrazione nella relazione integrativa, è stata finalizzata, in particolare, ad individuare caratteristiche merceologiche e condizioni di utilizzo dei materiali in questione tali da assicurare il possesso di requisiti adeguati a qualificarli come prodotti combustibili (dotati, ad esempio, di idoneo potere calorifico) </w:t>
            </w:r>
            <w:r w:rsidRPr="00AC6FBE">
              <w:rPr>
                <w:rFonts w:ascii="Garamond" w:eastAsia="Times New Roman" w:hAnsi="Garamond" w:cs="Arial"/>
                <w:b/>
                <w:color w:val="000000"/>
                <w:sz w:val="30"/>
                <w:szCs w:val="30"/>
                <w:highlight w:val="yellow"/>
                <w:lang w:eastAsia="it-IT"/>
              </w:rPr>
              <w:t>e a garantire che la relativa combustione non impattasse negativamente sull’ambiente,</w:t>
            </w:r>
            <w:r w:rsidRPr="00BF7AC7">
              <w:rPr>
                <w:rFonts w:ascii="Garamond" w:eastAsia="Times New Roman" w:hAnsi="Garamond" w:cs="Arial"/>
                <w:b/>
                <w:color w:val="000000"/>
                <w:sz w:val="30"/>
                <w:szCs w:val="30"/>
                <w:lang w:eastAsia="it-IT"/>
              </w:rPr>
              <w:t xml:space="preserve"> f</w:t>
            </w:r>
            <w:r w:rsidRPr="00B453D8">
              <w:rPr>
                <w:rFonts w:ascii="Garamond" w:eastAsia="Times New Roman" w:hAnsi="Garamond" w:cs="Arial"/>
                <w:color w:val="000000"/>
                <w:sz w:val="30"/>
                <w:szCs w:val="30"/>
                <w:lang w:eastAsia="it-IT"/>
              </w:rPr>
              <w:t>ermo restando il doveroso rispetto dei requisiti sanitari previsti dai Regolamenti europei</w:t>
            </w:r>
            <w:r w:rsidRPr="00BF7AC7">
              <w:rPr>
                <w:rFonts w:ascii="Garamond" w:eastAsia="Times New Roman" w:hAnsi="Garamond" w:cs="Arial"/>
                <w:b/>
                <w:color w:val="000000"/>
                <w:sz w:val="30"/>
                <w:szCs w:val="30"/>
                <w:lang w:eastAsia="it-IT"/>
              </w:rPr>
              <w:t xml:space="preserve"> </w:t>
            </w:r>
            <w:r w:rsidRPr="00BF7AC7">
              <w:rPr>
                <w:rFonts w:ascii="Garamond" w:eastAsia="Times New Roman" w:hAnsi="Garamond" w:cs="Arial"/>
                <w:b/>
                <w:color w:val="000000"/>
                <w:sz w:val="30"/>
                <w:szCs w:val="30"/>
                <w:highlight w:val="yellow"/>
                <w:lang w:eastAsia="it-IT"/>
              </w:rPr>
              <w:t>n. 1069/2009, 142/2011 e 592/2014 (che, a fini di tutela sanitaria e della salute pubblica, prevedono una serie di criteri e condizioni di esercizio degli impianti che sono obbligatori in tutti i casi di combustione di materiali di origine animale).</w:t>
            </w:r>
          </w:p>
          <w:p w:rsidR="00B453D8" w:rsidRPr="00B453D8" w:rsidRDefault="00B453D8" w:rsidP="00B453D8">
            <w:pPr>
              <w:spacing w:after="0" w:line="520" w:lineRule="atLeast"/>
              <w:jc w:val="both"/>
              <w:rPr>
                <w:rFonts w:ascii="Garamond" w:eastAsia="Times New Roman" w:hAnsi="Garamond" w:cs="Arial"/>
                <w:color w:val="000000"/>
                <w:sz w:val="30"/>
                <w:szCs w:val="30"/>
                <w:lang w:eastAsia="it-IT"/>
              </w:rPr>
            </w:pPr>
            <w:r w:rsidRPr="00B453D8">
              <w:rPr>
                <w:rFonts w:ascii="Garamond" w:eastAsia="Times New Roman" w:hAnsi="Garamond" w:cs="Arial"/>
                <w:color w:val="000000"/>
                <w:sz w:val="30"/>
                <w:szCs w:val="30"/>
                <w:lang w:eastAsia="it-IT"/>
              </w:rPr>
              <w:t>Orbene, il principale documento tecnico che si è scelto di prendere a riferimento in sede istruttoria è rappresentato dalla norma tecnica UNI/TS 11163, risalente al dicembre 2009, dedicata alla classificazione ed alle specifiche, ai fini dell’impiego energetico, di “biocombustibili liquidi, oli e grassi animali e vegetali, loro intermedi e derivati”.</w:t>
            </w:r>
          </w:p>
          <w:p w:rsidR="00B453D8" w:rsidRPr="00AC6FBE" w:rsidRDefault="00B453D8" w:rsidP="00B453D8">
            <w:pPr>
              <w:spacing w:after="0" w:line="520" w:lineRule="atLeast"/>
              <w:jc w:val="both"/>
              <w:rPr>
                <w:rFonts w:ascii="Garamond" w:eastAsia="Times New Roman" w:hAnsi="Garamond" w:cs="Arial"/>
                <w:b/>
                <w:color w:val="000000"/>
                <w:sz w:val="30"/>
                <w:szCs w:val="30"/>
                <w:lang w:eastAsia="it-IT"/>
              </w:rPr>
            </w:pPr>
            <w:r w:rsidRPr="00B453D8">
              <w:rPr>
                <w:rFonts w:ascii="Garamond" w:eastAsia="Times New Roman" w:hAnsi="Garamond" w:cs="Arial"/>
                <w:color w:val="000000"/>
                <w:sz w:val="30"/>
                <w:szCs w:val="30"/>
                <w:lang w:eastAsia="it-IT"/>
              </w:rPr>
              <w:t xml:space="preserve">In particolare, ribadisce in questa occasione l’Amministrazione in maniera ben più dettagliata, nell’ambito degli oli e grassi animali previsti dalla richiamata norma tecnica UNI/TS è stata selezionata, quale tipologia di materie suscettibili di essere usate come combustibili in maniera compatibile con le esigenze di tutela ambientale, la specifica categoria di prodotti (greggi o raffinati, costituiti prevalentemente da gliceridi di origine animale) che tale norma tecnica classifica come di maggior pregio e qualità sul piano energetico </w:t>
            </w:r>
            <w:r w:rsidRPr="00AC6FBE">
              <w:rPr>
                <w:rFonts w:ascii="Garamond" w:eastAsia="Times New Roman" w:hAnsi="Garamond" w:cs="Arial"/>
                <w:b/>
                <w:color w:val="000000"/>
                <w:sz w:val="30"/>
                <w:szCs w:val="30"/>
                <w:highlight w:val="yellow"/>
                <w:lang w:eastAsia="it-IT"/>
              </w:rPr>
              <w:t xml:space="preserve">(prodotti assegnati alle classi A e B del relativo </w:t>
            </w:r>
            <w:r w:rsidRPr="00AC6FBE">
              <w:rPr>
                <w:rFonts w:ascii="Garamond" w:eastAsia="Times New Roman" w:hAnsi="Garamond" w:cs="Arial"/>
                <w:b/>
                <w:color w:val="000000"/>
                <w:sz w:val="30"/>
                <w:szCs w:val="30"/>
                <w:highlight w:val="yellow"/>
                <w:lang w:eastAsia="it-IT"/>
              </w:rPr>
              <w:lastRenderedPageBreak/>
              <w:t>prospetto). Sono dunque esclusi i materiali di classe C (grassi acidi, oleine) e i restanti prodotti (margarine ecc.).</w:t>
            </w:r>
          </w:p>
          <w:p w:rsidR="00B453D8" w:rsidRPr="00BF7AC7" w:rsidRDefault="00B453D8" w:rsidP="00B453D8">
            <w:pPr>
              <w:spacing w:after="0" w:line="520" w:lineRule="atLeast"/>
              <w:jc w:val="both"/>
              <w:rPr>
                <w:rFonts w:ascii="Garamond" w:eastAsia="Times New Roman" w:hAnsi="Garamond" w:cs="Arial"/>
                <w:b/>
                <w:color w:val="000000"/>
                <w:sz w:val="30"/>
                <w:szCs w:val="30"/>
                <w:lang w:eastAsia="it-IT"/>
              </w:rPr>
            </w:pPr>
            <w:r w:rsidRPr="00BF7AC7">
              <w:rPr>
                <w:rFonts w:ascii="Garamond" w:eastAsia="Times New Roman" w:hAnsi="Garamond" w:cs="Arial"/>
                <w:b/>
                <w:color w:val="000000"/>
                <w:sz w:val="30"/>
                <w:szCs w:val="30"/>
                <w:lang w:eastAsia="it-IT"/>
              </w:rPr>
              <w:t xml:space="preserve">Alla luce di tale lungo lavoro istruttorio, viene dunque proposta l’introduzione nel vigente elenco delle biomasse di cui è ammesso l’uso come combustibili dei prodotti greggi o raffinati, costituiti prevalentemente </w:t>
            </w:r>
            <w:r w:rsidRPr="00A95FBA">
              <w:rPr>
                <w:rFonts w:ascii="Garamond" w:eastAsia="Times New Roman" w:hAnsi="Garamond" w:cs="Arial"/>
                <w:b/>
                <w:color w:val="000000"/>
                <w:sz w:val="30"/>
                <w:szCs w:val="30"/>
                <w:highlight w:val="yellow"/>
                <w:lang w:eastAsia="it-IT"/>
              </w:rPr>
              <w:t>da gliceridi di origine animale,</w:t>
            </w:r>
            <w:r w:rsidRPr="00A95FBA">
              <w:rPr>
                <w:rFonts w:ascii="Garamond" w:eastAsia="Times New Roman" w:hAnsi="Garamond" w:cs="Arial"/>
                <w:color w:val="000000"/>
                <w:sz w:val="30"/>
                <w:szCs w:val="30"/>
                <w:highlight w:val="yellow"/>
                <w:lang w:eastAsia="it-IT"/>
              </w:rPr>
              <w:t xml:space="preserve"> </w:t>
            </w:r>
            <w:r w:rsidRPr="00A95FBA">
              <w:rPr>
                <w:rFonts w:ascii="Garamond" w:eastAsia="Times New Roman" w:hAnsi="Garamond" w:cs="Arial"/>
                <w:b/>
                <w:color w:val="000000"/>
                <w:sz w:val="30"/>
                <w:szCs w:val="30"/>
                <w:highlight w:val="yellow"/>
                <w:lang w:eastAsia="it-IT"/>
              </w:rPr>
              <w:t>conformi ai regolamenti comunitari in materia sanitaria e che posseggono caratteristiche, in termini di densità, viscosità, contenuto di acqua, cenere, zolfo, solventi, idonee ad assicurare una corretta combustione ed un ridotto impatto in termini di emissioni di sostanze inquinanti in atmosfera.</w:t>
            </w:r>
          </w:p>
          <w:p w:rsidR="00B453D8" w:rsidRPr="00BF7AC7" w:rsidRDefault="00B453D8" w:rsidP="00B453D8">
            <w:pPr>
              <w:spacing w:after="0" w:line="520" w:lineRule="atLeast"/>
              <w:jc w:val="both"/>
              <w:rPr>
                <w:rFonts w:ascii="Garamond" w:eastAsia="Times New Roman" w:hAnsi="Garamond" w:cs="Arial"/>
                <w:b/>
                <w:color w:val="000000"/>
                <w:sz w:val="30"/>
                <w:szCs w:val="30"/>
                <w:lang w:eastAsia="it-IT"/>
              </w:rPr>
            </w:pPr>
            <w:r w:rsidRPr="00BF7AC7">
              <w:rPr>
                <w:rFonts w:ascii="Garamond" w:eastAsia="Times New Roman" w:hAnsi="Garamond" w:cs="Arial"/>
                <w:b/>
                <w:color w:val="000000"/>
                <w:sz w:val="30"/>
                <w:szCs w:val="30"/>
                <w:lang w:eastAsia="it-IT"/>
              </w:rPr>
              <w:t xml:space="preserve">Preso atto di ciò e soprattutto, quindi, delle assicurazioni fornite dall’Amministrazione in </w:t>
            </w:r>
            <w:r w:rsidRPr="00D90EDD">
              <w:rPr>
                <w:rFonts w:ascii="Garamond" w:eastAsia="Times New Roman" w:hAnsi="Garamond" w:cs="Arial"/>
                <w:b/>
                <w:color w:val="000000"/>
                <w:sz w:val="30"/>
                <w:szCs w:val="30"/>
                <w:highlight w:val="yellow"/>
                <w:lang w:eastAsia="it-IT"/>
              </w:rPr>
              <w:t>relazione al non aggravio in termini di impatto ambientale,</w:t>
            </w:r>
            <w:r w:rsidRPr="00BF7AC7">
              <w:rPr>
                <w:rFonts w:ascii="Garamond" w:eastAsia="Times New Roman" w:hAnsi="Garamond" w:cs="Arial"/>
                <w:b/>
                <w:color w:val="000000"/>
                <w:sz w:val="30"/>
                <w:szCs w:val="30"/>
                <w:lang w:eastAsia="it-IT"/>
              </w:rPr>
              <w:t xml:space="preserve"> del tutto recessiva pare alla Sezione l’ulteriore argomentazione, pure dedotta, anche se - invero - non di caratura “tecnica”, secondo cui consentire il diverso utilizzo (come combustibile) di tali materiali, che - deve sottolinearsi anche in questa sede – possono essere oggi destinati alla combustione solo in quanto rifiuti, </w:t>
            </w:r>
            <w:r w:rsidRPr="00D90EDD">
              <w:rPr>
                <w:rFonts w:ascii="Garamond" w:eastAsia="Times New Roman" w:hAnsi="Garamond" w:cs="Arial"/>
                <w:b/>
                <w:color w:val="000000"/>
                <w:sz w:val="30"/>
                <w:szCs w:val="30"/>
                <w:highlight w:val="yellow"/>
                <w:lang w:eastAsia="it-IT"/>
              </w:rPr>
              <w:t>permette di sottrarli all’oneroso, dispendioso ed impattante circuito dello smaltimento e trattamento dei rifiuti medesimi (con evidenti vantaggi a partire dagli operatori del settore</w:t>
            </w:r>
            <w:r w:rsidRPr="00BF7AC7">
              <w:rPr>
                <w:rFonts w:ascii="Garamond" w:eastAsia="Times New Roman" w:hAnsi="Garamond" w:cs="Arial"/>
                <w:b/>
                <w:color w:val="000000"/>
                <w:sz w:val="30"/>
                <w:szCs w:val="30"/>
                <w:lang w:eastAsia="it-IT"/>
              </w:rPr>
              <w:t>).</w:t>
            </w:r>
          </w:p>
          <w:p w:rsidR="00B453D8" w:rsidRPr="00B453D8" w:rsidRDefault="00B453D8" w:rsidP="00B453D8">
            <w:pPr>
              <w:spacing w:after="0" w:line="520" w:lineRule="atLeast"/>
              <w:jc w:val="both"/>
              <w:rPr>
                <w:rFonts w:ascii="Garamond" w:eastAsia="Times New Roman" w:hAnsi="Garamond" w:cs="Arial"/>
                <w:color w:val="000000"/>
                <w:sz w:val="30"/>
                <w:szCs w:val="30"/>
                <w:lang w:eastAsia="it-IT"/>
              </w:rPr>
            </w:pPr>
            <w:r w:rsidRPr="00E41564">
              <w:rPr>
                <w:rFonts w:ascii="Garamond" w:eastAsia="Times New Roman" w:hAnsi="Garamond" w:cs="Arial"/>
                <w:color w:val="000000"/>
                <w:sz w:val="30"/>
                <w:szCs w:val="30"/>
                <w:highlight w:val="yellow"/>
                <w:lang w:eastAsia="it-IT"/>
              </w:rPr>
              <w:t xml:space="preserve">La materia, come in tutti i casi in cui si tratta di decidere se un materiale, in questo caso di origine animale, possa rientrare tra i combustibili </w:t>
            </w:r>
            <w:r w:rsidRPr="00A95FBA">
              <w:rPr>
                <w:rFonts w:ascii="Garamond" w:eastAsia="Times New Roman" w:hAnsi="Garamond" w:cs="Arial"/>
                <w:b/>
                <w:color w:val="000000"/>
                <w:sz w:val="30"/>
                <w:szCs w:val="30"/>
                <w:highlight w:val="yellow"/>
                <w:lang w:eastAsia="it-IT"/>
              </w:rPr>
              <w:t xml:space="preserve">come sottoprodotto (e quindi non con come mero rifiuto da incenerire o co-incenerire al fine di trarne – eventualmente – energia) o rimanere nel novero dei rifiuti, resta, </w:t>
            </w:r>
            <w:r w:rsidRPr="00E41564">
              <w:rPr>
                <w:rFonts w:ascii="Garamond" w:eastAsia="Times New Roman" w:hAnsi="Garamond" w:cs="Arial"/>
                <w:color w:val="000000"/>
                <w:sz w:val="30"/>
                <w:szCs w:val="30"/>
                <w:highlight w:val="yellow"/>
                <w:lang w:eastAsia="it-IT"/>
              </w:rPr>
              <w:t>infatti, di estrema delicatezza, in ordine alle possibili conseguenze dal punto di vista ambientale, sanitario e della salute pubblica, ed al riguardo il Consiglio non può che rimettersi alle definitive, competenti e responsabili valutazioni dell’Amministrazione statale di riferimento.</w:t>
            </w:r>
            <w:bookmarkStart w:id="0" w:name="_GoBack"/>
            <w:bookmarkEnd w:id="0"/>
          </w:p>
          <w:p w:rsidR="00B453D8" w:rsidRPr="00B453D8" w:rsidRDefault="00B453D8" w:rsidP="00B453D8">
            <w:pPr>
              <w:spacing w:after="0" w:line="520" w:lineRule="atLeast"/>
              <w:jc w:val="both"/>
              <w:rPr>
                <w:rFonts w:ascii="Garamond" w:eastAsia="Times New Roman" w:hAnsi="Garamond" w:cs="Arial"/>
                <w:color w:val="000000"/>
                <w:sz w:val="30"/>
                <w:szCs w:val="30"/>
                <w:lang w:eastAsia="it-IT"/>
              </w:rPr>
            </w:pPr>
            <w:r w:rsidRPr="00B453D8">
              <w:rPr>
                <w:rFonts w:ascii="Garamond" w:eastAsia="Times New Roman" w:hAnsi="Garamond" w:cs="Arial"/>
                <w:color w:val="000000"/>
                <w:sz w:val="30"/>
                <w:szCs w:val="30"/>
                <w:lang w:eastAsia="it-IT"/>
              </w:rPr>
              <w:lastRenderedPageBreak/>
              <w:t>Né basta di per sé, ovviamente, per alleggerire la problematica la pur rilevante circostanza che è escluso l’utilizzo diffuso di siffatti materiali grassi negli impianti termici civili (obiettivamente meno controllabili).</w:t>
            </w:r>
          </w:p>
          <w:p w:rsidR="00B453D8" w:rsidRPr="00B453D8" w:rsidRDefault="00B453D8" w:rsidP="00B453D8">
            <w:pPr>
              <w:spacing w:after="0" w:line="520" w:lineRule="atLeast"/>
              <w:jc w:val="both"/>
              <w:rPr>
                <w:rFonts w:ascii="Garamond" w:eastAsia="Times New Roman" w:hAnsi="Garamond" w:cs="Arial"/>
                <w:color w:val="000000"/>
                <w:sz w:val="30"/>
                <w:szCs w:val="30"/>
                <w:lang w:eastAsia="it-IT"/>
              </w:rPr>
            </w:pPr>
            <w:r w:rsidRPr="00B453D8">
              <w:rPr>
                <w:rFonts w:ascii="Garamond" w:eastAsia="Times New Roman" w:hAnsi="Garamond" w:cs="Arial"/>
                <w:color w:val="000000"/>
                <w:sz w:val="30"/>
                <w:szCs w:val="30"/>
                <w:lang w:eastAsia="it-IT"/>
              </w:rPr>
              <w:t xml:space="preserve">E’ importante, inoltre, che l’Amministrazione abbia fornito assicurazioni anche sulla </w:t>
            </w:r>
            <w:r w:rsidRPr="00E41564">
              <w:rPr>
                <w:rFonts w:ascii="Garamond" w:eastAsia="Times New Roman" w:hAnsi="Garamond" w:cs="Arial"/>
                <w:b/>
                <w:color w:val="000000"/>
                <w:sz w:val="30"/>
                <w:szCs w:val="30"/>
                <w:lang w:eastAsia="it-IT"/>
              </w:rPr>
              <w:t>sottoposizione a monitoraggi</w:t>
            </w:r>
            <w:r w:rsidRPr="00B453D8">
              <w:rPr>
                <w:rFonts w:ascii="Garamond" w:eastAsia="Times New Roman" w:hAnsi="Garamond" w:cs="Arial"/>
                <w:color w:val="000000"/>
                <w:sz w:val="30"/>
                <w:szCs w:val="30"/>
                <w:lang w:eastAsia="it-IT"/>
              </w:rPr>
              <w:t xml:space="preserve"> e controlli, di ogni tipo, programmati o meno, delle specifiche situazioni da parte degli Enti ed Organismi preposti </w:t>
            </w:r>
            <w:r w:rsidRPr="00E41564">
              <w:rPr>
                <w:rFonts w:ascii="Garamond" w:eastAsia="Times New Roman" w:hAnsi="Garamond" w:cs="Arial"/>
                <w:b/>
                <w:color w:val="000000"/>
                <w:sz w:val="30"/>
                <w:szCs w:val="30"/>
                <w:lang w:eastAsia="it-IT"/>
              </w:rPr>
              <w:t>(come le ARPA),</w:t>
            </w:r>
            <w:r w:rsidRPr="00B453D8">
              <w:rPr>
                <w:rFonts w:ascii="Garamond" w:eastAsia="Times New Roman" w:hAnsi="Garamond" w:cs="Arial"/>
                <w:color w:val="000000"/>
                <w:sz w:val="30"/>
                <w:szCs w:val="30"/>
                <w:lang w:eastAsia="it-IT"/>
              </w:rPr>
              <w:t xml:space="preserve"> al fine della verifica dell’osservanza dei valori limite di emissione.</w:t>
            </w:r>
          </w:p>
          <w:p w:rsidR="00B453D8" w:rsidRPr="00E41564" w:rsidRDefault="00B453D8" w:rsidP="00B453D8">
            <w:pPr>
              <w:spacing w:after="0" w:line="520" w:lineRule="atLeast"/>
              <w:jc w:val="both"/>
              <w:rPr>
                <w:rFonts w:ascii="Garamond" w:eastAsia="Times New Roman" w:hAnsi="Garamond" w:cs="Arial"/>
                <w:b/>
                <w:color w:val="000000"/>
                <w:sz w:val="30"/>
                <w:szCs w:val="30"/>
                <w:lang w:eastAsia="it-IT"/>
              </w:rPr>
            </w:pPr>
            <w:r w:rsidRPr="00B453D8">
              <w:rPr>
                <w:rFonts w:ascii="Garamond" w:eastAsia="Times New Roman" w:hAnsi="Garamond" w:cs="Arial"/>
                <w:color w:val="000000"/>
                <w:sz w:val="30"/>
                <w:szCs w:val="30"/>
                <w:lang w:eastAsia="it-IT"/>
              </w:rPr>
              <w:t xml:space="preserve">Passando al testo regolamentare sottoposto all’attenzione del Consiglio, costituito – come si accennava </w:t>
            </w:r>
            <w:r w:rsidRPr="00E41564">
              <w:rPr>
                <w:rFonts w:ascii="Garamond" w:eastAsia="Times New Roman" w:hAnsi="Garamond" w:cs="Arial"/>
                <w:b/>
                <w:color w:val="000000"/>
                <w:sz w:val="30"/>
                <w:szCs w:val="30"/>
                <w:lang w:eastAsia="it-IT"/>
              </w:rPr>
              <w:t>- da un unico articolo,</w:t>
            </w:r>
            <w:r w:rsidRPr="00B453D8">
              <w:rPr>
                <w:rFonts w:ascii="Garamond" w:eastAsia="Times New Roman" w:hAnsi="Garamond" w:cs="Arial"/>
                <w:color w:val="000000"/>
                <w:sz w:val="30"/>
                <w:szCs w:val="30"/>
                <w:lang w:eastAsia="it-IT"/>
              </w:rPr>
              <w:t xml:space="preserve"> recante anche una tabella contenente i valori limite di proprietà e caratteristiche merceologiche dei materiali in questione (e relative norme tecniche metodologiche di prova), dati che si ritiene – per quanto è dato conoscere - costituiscano l’esito dell’istruttoria tecnica compiuta ai fini di validarne la capacità energetica e la compatibilità ambientale, </w:t>
            </w:r>
            <w:r w:rsidRPr="00E41564">
              <w:rPr>
                <w:rFonts w:ascii="Garamond" w:eastAsia="Times New Roman" w:hAnsi="Garamond" w:cs="Arial"/>
                <w:b/>
                <w:color w:val="000000"/>
                <w:sz w:val="30"/>
                <w:szCs w:val="30"/>
                <w:lang w:eastAsia="it-IT"/>
              </w:rPr>
              <w:t>la Sezione osserva, anzitutto, che appare preferibile che vengano citati in maniera espressa anche i regolamenti europei attuativi in materia sanitaria (non solo dunque il regolamento fondamentale n. 1069/2009), citati peraltro nel corpo del parere.</w:t>
            </w:r>
          </w:p>
          <w:p w:rsidR="00B453D8" w:rsidRPr="00E41564" w:rsidRDefault="00B453D8" w:rsidP="00B453D8">
            <w:pPr>
              <w:spacing w:after="0" w:line="520" w:lineRule="atLeast"/>
              <w:jc w:val="both"/>
              <w:rPr>
                <w:rFonts w:ascii="Garamond" w:eastAsia="Times New Roman" w:hAnsi="Garamond" w:cs="Arial"/>
                <w:b/>
                <w:color w:val="000000"/>
                <w:sz w:val="30"/>
                <w:szCs w:val="30"/>
                <w:lang w:eastAsia="it-IT"/>
              </w:rPr>
            </w:pPr>
            <w:r w:rsidRPr="00B453D8">
              <w:rPr>
                <w:rFonts w:ascii="Garamond" w:eastAsia="Times New Roman" w:hAnsi="Garamond" w:cs="Arial"/>
                <w:color w:val="000000"/>
                <w:sz w:val="30"/>
                <w:szCs w:val="30"/>
                <w:lang w:eastAsia="it-IT"/>
              </w:rPr>
              <w:t xml:space="preserve">Ritiene, altresì, la Sezione che, per tutto quanto sopra esposto, debba essere aggiunto anche il richiamo espresso alle condizioni </w:t>
            </w:r>
            <w:r w:rsidRPr="00E41564">
              <w:rPr>
                <w:rFonts w:ascii="Garamond" w:eastAsia="Times New Roman" w:hAnsi="Garamond" w:cs="Arial"/>
                <w:b/>
                <w:color w:val="000000"/>
                <w:sz w:val="30"/>
                <w:szCs w:val="30"/>
                <w:lang w:eastAsia="it-IT"/>
              </w:rPr>
              <w:t>di legalità e di rispetto dell’ambiente e della salute umana cui si fa cenno nell’art. 184-bis del codice dell’ambiente al fine di distinguere i sottoprodotti (nella specie di origine animale) dai rifiuti, anche alla luce del dettato del successivo articolo 185.</w:t>
            </w:r>
          </w:p>
          <w:p w:rsidR="00B453D8" w:rsidRPr="00B453D8" w:rsidRDefault="00B453D8" w:rsidP="00B453D8">
            <w:pPr>
              <w:spacing w:after="0" w:line="520" w:lineRule="atLeast"/>
              <w:jc w:val="both"/>
              <w:rPr>
                <w:rFonts w:ascii="Garamond" w:eastAsia="Times New Roman" w:hAnsi="Garamond" w:cs="Arial"/>
                <w:color w:val="000000"/>
                <w:sz w:val="30"/>
                <w:szCs w:val="30"/>
                <w:lang w:eastAsia="it-IT"/>
              </w:rPr>
            </w:pPr>
            <w:r w:rsidRPr="00B453D8">
              <w:rPr>
                <w:rFonts w:ascii="Garamond" w:eastAsia="Times New Roman" w:hAnsi="Garamond" w:cs="Arial"/>
                <w:color w:val="000000"/>
                <w:sz w:val="30"/>
                <w:szCs w:val="30"/>
                <w:lang w:eastAsia="it-IT"/>
              </w:rPr>
              <w:t>Tali integrazioni devono considerarsi condizioni per il legittimo prosieguo dell’iter del provvedimento normativo in argomento.</w:t>
            </w:r>
          </w:p>
          <w:p w:rsidR="00B453D8" w:rsidRPr="00B453D8" w:rsidRDefault="00B453D8" w:rsidP="00B453D8">
            <w:pPr>
              <w:spacing w:after="0" w:line="540" w:lineRule="atLeast"/>
              <w:jc w:val="center"/>
              <w:rPr>
                <w:rFonts w:ascii="Garamond" w:eastAsia="Times New Roman" w:hAnsi="Garamond" w:cs="Arial"/>
                <w:color w:val="000000"/>
                <w:sz w:val="30"/>
                <w:szCs w:val="30"/>
                <w:lang w:eastAsia="it-IT"/>
              </w:rPr>
            </w:pPr>
            <w:r w:rsidRPr="00B453D8">
              <w:rPr>
                <w:rFonts w:ascii="Garamond" w:eastAsia="Times New Roman" w:hAnsi="Garamond" w:cs="Arial"/>
                <w:color w:val="000000"/>
                <w:sz w:val="30"/>
                <w:szCs w:val="30"/>
                <w:lang w:eastAsia="it-IT"/>
              </w:rPr>
              <w:t>P.Q.M.</w:t>
            </w:r>
          </w:p>
          <w:p w:rsidR="00B453D8" w:rsidRPr="00B453D8" w:rsidRDefault="00B453D8" w:rsidP="00B453D8">
            <w:pPr>
              <w:spacing w:after="0" w:line="520" w:lineRule="atLeast"/>
              <w:jc w:val="both"/>
              <w:rPr>
                <w:rFonts w:ascii="Garamond" w:eastAsia="Times New Roman" w:hAnsi="Garamond" w:cs="Arial"/>
                <w:color w:val="000000"/>
                <w:sz w:val="30"/>
                <w:szCs w:val="30"/>
                <w:lang w:eastAsia="it-IT"/>
              </w:rPr>
            </w:pPr>
            <w:r w:rsidRPr="00B453D8">
              <w:rPr>
                <w:rFonts w:ascii="Garamond" w:eastAsia="Times New Roman" w:hAnsi="Garamond" w:cs="Arial"/>
                <w:color w:val="000000"/>
                <w:sz w:val="30"/>
                <w:szCs w:val="30"/>
                <w:lang w:eastAsia="it-IT"/>
              </w:rPr>
              <w:t>Nei sensi sopra esposti è il parere favorevole, con condizioni, della Sezione.</w:t>
            </w:r>
          </w:p>
          <w:p w:rsidR="00B453D8" w:rsidRPr="00B453D8" w:rsidRDefault="00B453D8" w:rsidP="00B453D8">
            <w:pPr>
              <w:spacing w:after="0" w:line="240" w:lineRule="auto"/>
              <w:jc w:val="center"/>
              <w:rPr>
                <w:rFonts w:ascii="Arial" w:eastAsia="Times New Roman" w:hAnsi="Arial" w:cs="Arial"/>
                <w:color w:val="000000"/>
                <w:sz w:val="18"/>
                <w:szCs w:val="18"/>
                <w:lang w:eastAsia="it-IT"/>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5247"/>
              <w:gridCol w:w="4440"/>
              <w:gridCol w:w="78"/>
            </w:tblGrid>
            <w:tr w:rsidR="00B453D8" w:rsidRPr="00B453D8">
              <w:trPr>
                <w:jc w:val="center"/>
              </w:trPr>
              <w:tc>
                <w:tcPr>
                  <w:tcW w:w="0" w:type="auto"/>
                  <w:vAlign w:val="center"/>
                  <w:hideMark/>
                </w:tcPr>
                <w:p w:rsidR="00B453D8" w:rsidRPr="00B453D8" w:rsidRDefault="00B453D8" w:rsidP="00B453D8">
                  <w:pPr>
                    <w:spacing w:after="0" w:line="240" w:lineRule="auto"/>
                    <w:jc w:val="center"/>
                    <w:rPr>
                      <w:rFonts w:ascii="Times New Roman" w:eastAsia="Times New Roman" w:hAnsi="Times New Roman" w:cs="Times New Roman"/>
                      <w:sz w:val="28"/>
                      <w:szCs w:val="28"/>
                      <w:lang w:eastAsia="it-IT"/>
                    </w:rPr>
                  </w:pPr>
                  <w:r w:rsidRPr="00B453D8">
                    <w:rPr>
                      <w:rFonts w:ascii="Times New Roman" w:eastAsia="Times New Roman" w:hAnsi="Times New Roman" w:cs="Times New Roman"/>
                      <w:sz w:val="28"/>
                      <w:szCs w:val="28"/>
                      <w:lang w:eastAsia="it-IT"/>
                    </w:rPr>
                    <w:t> </w:t>
                  </w:r>
                </w:p>
              </w:tc>
              <w:tc>
                <w:tcPr>
                  <w:tcW w:w="0" w:type="auto"/>
                  <w:vAlign w:val="center"/>
                  <w:hideMark/>
                </w:tcPr>
                <w:p w:rsidR="00B453D8" w:rsidRPr="00B453D8" w:rsidRDefault="00B453D8" w:rsidP="00B453D8">
                  <w:pPr>
                    <w:spacing w:after="0" w:line="240" w:lineRule="auto"/>
                    <w:jc w:val="center"/>
                    <w:rPr>
                      <w:rFonts w:ascii="Times New Roman" w:eastAsia="Times New Roman" w:hAnsi="Times New Roman" w:cs="Times New Roman"/>
                      <w:sz w:val="28"/>
                      <w:szCs w:val="28"/>
                      <w:lang w:eastAsia="it-IT"/>
                    </w:rPr>
                  </w:pPr>
                </w:p>
              </w:tc>
              <w:tc>
                <w:tcPr>
                  <w:tcW w:w="0" w:type="auto"/>
                  <w:vAlign w:val="center"/>
                  <w:hideMark/>
                </w:tcPr>
                <w:p w:rsidR="00B453D8" w:rsidRPr="00B453D8" w:rsidRDefault="00B453D8" w:rsidP="00B453D8">
                  <w:pPr>
                    <w:spacing w:after="0" w:line="240" w:lineRule="auto"/>
                    <w:jc w:val="center"/>
                    <w:rPr>
                      <w:rFonts w:ascii="Times New Roman" w:eastAsia="Times New Roman" w:hAnsi="Times New Roman" w:cs="Times New Roman"/>
                      <w:sz w:val="28"/>
                      <w:szCs w:val="28"/>
                      <w:lang w:eastAsia="it-IT"/>
                    </w:rPr>
                  </w:pPr>
                </w:p>
              </w:tc>
            </w:tr>
            <w:tr w:rsidR="00B453D8" w:rsidRPr="00B453D8">
              <w:trPr>
                <w:jc w:val="center"/>
              </w:trPr>
              <w:tc>
                <w:tcPr>
                  <w:tcW w:w="0" w:type="auto"/>
                  <w:vAlign w:val="center"/>
                  <w:hideMark/>
                </w:tcPr>
                <w:p w:rsidR="00B453D8" w:rsidRPr="00B453D8" w:rsidRDefault="00B453D8" w:rsidP="00B453D8">
                  <w:pPr>
                    <w:spacing w:after="0" w:line="240" w:lineRule="auto"/>
                    <w:jc w:val="center"/>
                    <w:rPr>
                      <w:rFonts w:ascii="Times New Roman" w:eastAsia="Times New Roman" w:hAnsi="Times New Roman" w:cs="Times New Roman"/>
                      <w:sz w:val="28"/>
                      <w:szCs w:val="28"/>
                      <w:lang w:eastAsia="it-IT"/>
                    </w:rPr>
                  </w:pPr>
                  <w:r w:rsidRPr="00B453D8">
                    <w:rPr>
                      <w:rFonts w:ascii="Times New Roman" w:eastAsia="Times New Roman" w:hAnsi="Times New Roman" w:cs="Times New Roman"/>
                      <w:sz w:val="28"/>
                      <w:szCs w:val="28"/>
                      <w:lang w:eastAsia="it-IT"/>
                    </w:rPr>
                    <w:t> </w:t>
                  </w:r>
                </w:p>
              </w:tc>
              <w:tc>
                <w:tcPr>
                  <w:tcW w:w="0" w:type="auto"/>
                  <w:vAlign w:val="center"/>
                  <w:hideMark/>
                </w:tcPr>
                <w:p w:rsidR="00B453D8" w:rsidRPr="00B453D8" w:rsidRDefault="00B453D8" w:rsidP="00B453D8">
                  <w:pPr>
                    <w:spacing w:after="0" w:line="240" w:lineRule="auto"/>
                    <w:jc w:val="center"/>
                    <w:rPr>
                      <w:rFonts w:ascii="Times New Roman" w:eastAsia="Times New Roman" w:hAnsi="Times New Roman" w:cs="Times New Roman"/>
                      <w:sz w:val="28"/>
                      <w:szCs w:val="28"/>
                      <w:lang w:eastAsia="it-IT"/>
                    </w:rPr>
                  </w:pPr>
                </w:p>
              </w:tc>
              <w:tc>
                <w:tcPr>
                  <w:tcW w:w="0" w:type="auto"/>
                  <w:vAlign w:val="center"/>
                  <w:hideMark/>
                </w:tcPr>
                <w:p w:rsidR="00B453D8" w:rsidRPr="00B453D8" w:rsidRDefault="00B453D8" w:rsidP="00B453D8">
                  <w:pPr>
                    <w:spacing w:after="0" w:line="240" w:lineRule="auto"/>
                    <w:jc w:val="center"/>
                    <w:rPr>
                      <w:rFonts w:ascii="Times New Roman" w:eastAsia="Times New Roman" w:hAnsi="Times New Roman" w:cs="Times New Roman"/>
                      <w:sz w:val="28"/>
                      <w:szCs w:val="28"/>
                      <w:lang w:eastAsia="it-IT"/>
                    </w:rPr>
                  </w:pPr>
                </w:p>
              </w:tc>
            </w:tr>
            <w:tr w:rsidR="00B453D8" w:rsidRPr="00B453D8">
              <w:trPr>
                <w:jc w:val="center"/>
              </w:trPr>
              <w:tc>
                <w:tcPr>
                  <w:tcW w:w="0" w:type="auto"/>
                  <w:vAlign w:val="center"/>
                  <w:hideMark/>
                </w:tcPr>
                <w:p w:rsidR="00B453D8" w:rsidRPr="00B453D8" w:rsidRDefault="00B453D8" w:rsidP="00B453D8">
                  <w:pPr>
                    <w:spacing w:after="0" w:line="240" w:lineRule="auto"/>
                    <w:jc w:val="center"/>
                    <w:rPr>
                      <w:rFonts w:ascii="Times New Roman" w:eastAsia="Times New Roman" w:hAnsi="Times New Roman" w:cs="Times New Roman"/>
                      <w:sz w:val="28"/>
                      <w:szCs w:val="28"/>
                      <w:lang w:eastAsia="it-IT"/>
                    </w:rPr>
                  </w:pPr>
                  <w:r w:rsidRPr="00B453D8">
                    <w:rPr>
                      <w:rFonts w:ascii="Times New Roman" w:eastAsia="Times New Roman" w:hAnsi="Times New Roman" w:cs="Times New Roman"/>
                      <w:sz w:val="28"/>
                      <w:szCs w:val="28"/>
                      <w:lang w:eastAsia="it-IT"/>
                    </w:rPr>
                    <w:lastRenderedPageBreak/>
                    <w:t>L'ESTENSORE</w:t>
                  </w:r>
                </w:p>
              </w:tc>
              <w:tc>
                <w:tcPr>
                  <w:tcW w:w="0" w:type="auto"/>
                  <w:vAlign w:val="center"/>
                  <w:hideMark/>
                </w:tcPr>
                <w:p w:rsidR="00B453D8" w:rsidRPr="00B453D8" w:rsidRDefault="00B453D8" w:rsidP="00B453D8">
                  <w:pPr>
                    <w:spacing w:after="0" w:line="240" w:lineRule="auto"/>
                    <w:jc w:val="center"/>
                    <w:rPr>
                      <w:rFonts w:ascii="Times New Roman" w:eastAsia="Times New Roman" w:hAnsi="Times New Roman" w:cs="Times New Roman"/>
                      <w:sz w:val="28"/>
                      <w:szCs w:val="28"/>
                      <w:lang w:eastAsia="it-IT"/>
                    </w:rPr>
                  </w:pPr>
                  <w:r w:rsidRPr="00B453D8">
                    <w:rPr>
                      <w:rFonts w:ascii="Times New Roman" w:eastAsia="Times New Roman" w:hAnsi="Times New Roman" w:cs="Times New Roman"/>
                      <w:sz w:val="28"/>
                      <w:szCs w:val="28"/>
                      <w:lang w:eastAsia="it-IT"/>
                    </w:rPr>
                    <w:t>IL PRESIDENTE</w:t>
                  </w:r>
                </w:p>
              </w:tc>
              <w:tc>
                <w:tcPr>
                  <w:tcW w:w="0" w:type="auto"/>
                  <w:vAlign w:val="center"/>
                  <w:hideMark/>
                </w:tcPr>
                <w:p w:rsidR="00B453D8" w:rsidRPr="00B453D8" w:rsidRDefault="00B453D8" w:rsidP="00B453D8">
                  <w:pPr>
                    <w:spacing w:after="0" w:line="240" w:lineRule="auto"/>
                    <w:rPr>
                      <w:rFonts w:ascii="Times New Roman" w:eastAsia="Times New Roman" w:hAnsi="Times New Roman" w:cs="Times New Roman"/>
                      <w:sz w:val="20"/>
                      <w:szCs w:val="20"/>
                      <w:lang w:eastAsia="it-IT"/>
                    </w:rPr>
                  </w:pPr>
                </w:p>
              </w:tc>
            </w:tr>
            <w:tr w:rsidR="00B453D8" w:rsidRPr="00B453D8">
              <w:trPr>
                <w:jc w:val="center"/>
              </w:trPr>
              <w:tc>
                <w:tcPr>
                  <w:tcW w:w="0" w:type="auto"/>
                  <w:vAlign w:val="center"/>
                  <w:hideMark/>
                </w:tcPr>
                <w:p w:rsidR="00B453D8" w:rsidRPr="00B453D8" w:rsidRDefault="00B453D8" w:rsidP="00B453D8">
                  <w:pPr>
                    <w:spacing w:after="0" w:line="240" w:lineRule="auto"/>
                    <w:jc w:val="center"/>
                    <w:rPr>
                      <w:rFonts w:ascii="Times New Roman" w:eastAsia="Times New Roman" w:hAnsi="Times New Roman" w:cs="Times New Roman"/>
                      <w:sz w:val="28"/>
                      <w:szCs w:val="28"/>
                      <w:lang w:eastAsia="it-IT"/>
                    </w:rPr>
                  </w:pPr>
                  <w:r w:rsidRPr="00B453D8">
                    <w:rPr>
                      <w:rFonts w:ascii="Times New Roman" w:eastAsia="Times New Roman" w:hAnsi="Times New Roman" w:cs="Times New Roman"/>
                      <w:sz w:val="28"/>
                      <w:szCs w:val="28"/>
                      <w:lang w:eastAsia="it-IT"/>
                    </w:rPr>
                    <w:t>Gerardo Mastrandrea</w:t>
                  </w:r>
                </w:p>
              </w:tc>
              <w:tc>
                <w:tcPr>
                  <w:tcW w:w="0" w:type="auto"/>
                  <w:vAlign w:val="center"/>
                  <w:hideMark/>
                </w:tcPr>
                <w:p w:rsidR="00B453D8" w:rsidRPr="00B453D8" w:rsidRDefault="00B453D8" w:rsidP="00B453D8">
                  <w:pPr>
                    <w:spacing w:after="0" w:line="240" w:lineRule="auto"/>
                    <w:jc w:val="center"/>
                    <w:rPr>
                      <w:rFonts w:ascii="Times New Roman" w:eastAsia="Times New Roman" w:hAnsi="Times New Roman" w:cs="Times New Roman"/>
                      <w:sz w:val="28"/>
                      <w:szCs w:val="28"/>
                      <w:lang w:eastAsia="it-IT"/>
                    </w:rPr>
                  </w:pPr>
                  <w:r w:rsidRPr="00B453D8">
                    <w:rPr>
                      <w:rFonts w:ascii="Times New Roman" w:eastAsia="Times New Roman" w:hAnsi="Times New Roman" w:cs="Times New Roman"/>
                      <w:sz w:val="28"/>
                      <w:szCs w:val="28"/>
                      <w:lang w:eastAsia="it-IT"/>
                    </w:rPr>
                    <w:t>Franco Frattini</w:t>
                  </w:r>
                </w:p>
              </w:tc>
              <w:tc>
                <w:tcPr>
                  <w:tcW w:w="0" w:type="auto"/>
                  <w:vAlign w:val="center"/>
                  <w:hideMark/>
                </w:tcPr>
                <w:p w:rsidR="00B453D8" w:rsidRPr="00B453D8" w:rsidRDefault="00B453D8" w:rsidP="00B453D8">
                  <w:pPr>
                    <w:spacing w:after="0" w:line="240" w:lineRule="auto"/>
                    <w:rPr>
                      <w:rFonts w:ascii="Times New Roman" w:eastAsia="Times New Roman" w:hAnsi="Times New Roman" w:cs="Times New Roman"/>
                      <w:sz w:val="20"/>
                      <w:szCs w:val="20"/>
                      <w:lang w:eastAsia="it-IT"/>
                    </w:rPr>
                  </w:pPr>
                </w:p>
              </w:tc>
            </w:tr>
            <w:tr w:rsidR="00B453D8" w:rsidRPr="00B453D8">
              <w:trPr>
                <w:jc w:val="center"/>
              </w:trPr>
              <w:tc>
                <w:tcPr>
                  <w:tcW w:w="0" w:type="auto"/>
                  <w:vAlign w:val="center"/>
                  <w:hideMark/>
                </w:tcPr>
                <w:p w:rsidR="00B453D8" w:rsidRPr="00B453D8" w:rsidRDefault="00B453D8" w:rsidP="00B453D8">
                  <w:pPr>
                    <w:spacing w:after="0" w:line="240" w:lineRule="auto"/>
                    <w:jc w:val="center"/>
                    <w:rPr>
                      <w:rFonts w:ascii="Times New Roman" w:eastAsia="Times New Roman" w:hAnsi="Times New Roman" w:cs="Times New Roman"/>
                      <w:sz w:val="28"/>
                      <w:szCs w:val="28"/>
                      <w:lang w:eastAsia="it-IT"/>
                    </w:rPr>
                  </w:pPr>
                  <w:r w:rsidRPr="00B453D8">
                    <w:rPr>
                      <w:rFonts w:ascii="Times New Roman" w:eastAsia="Times New Roman" w:hAnsi="Times New Roman" w:cs="Times New Roman"/>
                      <w:sz w:val="28"/>
                      <w:szCs w:val="28"/>
                      <w:lang w:eastAsia="it-IT"/>
                    </w:rPr>
                    <w:t> </w:t>
                  </w:r>
                </w:p>
              </w:tc>
              <w:tc>
                <w:tcPr>
                  <w:tcW w:w="0" w:type="auto"/>
                  <w:vAlign w:val="center"/>
                  <w:hideMark/>
                </w:tcPr>
                <w:p w:rsidR="00B453D8" w:rsidRPr="00B453D8" w:rsidRDefault="00B453D8" w:rsidP="00B453D8">
                  <w:pPr>
                    <w:spacing w:after="0" w:line="240" w:lineRule="auto"/>
                    <w:jc w:val="center"/>
                    <w:rPr>
                      <w:rFonts w:ascii="Times New Roman" w:eastAsia="Times New Roman" w:hAnsi="Times New Roman" w:cs="Times New Roman"/>
                      <w:sz w:val="28"/>
                      <w:szCs w:val="28"/>
                      <w:lang w:eastAsia="it-IT"/>
                    </w:rPr>
                  </w:pPr>
                </w:p>
              </w:tc>
              <w:tc>
                <w:tcPr>
                  <w:tcW w:w="0" w:type="auto"/>
                  <w:vAlign w:val="center"/>
                  <w:hideMark/>
                </w:tcPr>
                <w:p w:rsidR="00B453D8" w:rsidRPr="00B453D8" w:rsidRDefault="00B453D8" w:rsidP="00B453D8">
                  <w:pPr>
                    <w:spacing w:after="0" w:line="240" w:lineRule="auto"/>
                    <w:jc w:val="center"/>
                    <w:rPr>
                      <w:rFonts w:ascii="Times New Roman" w:eastAsia="Times New Roman" w:hAnsi="Times New Roman" w:cs="Times New Roman"/>
                      <w:sz w:val="28"/>
                      <w:szCs w:val="28"/>
                      <w:lang w:eastAsia="it-IT"/>
                    </w:rPr>
                  </w:pPr>
                </w:p>
              </w:tc>
            </w:tr>
            <w:tr w:rsidR="00B453D8" w:rsidRPr="00B453D8">
              <w:trPr>
                <w:jc w:val="center"/>
              </w:trPr>
              <w:tc>
                <w:tcPr>
                  <w:tcW w:w="0" w:type="auto"/>
                  <w:vAlign w:val="center"/>
                  <w:hideMark/>
                </w:tcPr>
                <w:p w:rsidR="00B453D8" w:rsidRPr="00B453D8" w:rsidRDefault="00B453D8" w:rsidP="00B453D8">
                  <w:pPr>
                    <w:spacing w:after="0" w:line="240" w:lineRule="auto"/>
                    <w:jc w:val="center"/>
                    <w:rPr>
                      <w:rFonts w:ascii="Times New Roman" w:eastAsia="Times New Roman" w:hAnsi="Times New Roman" w:cs="Times New Roman"/>
                      <w:sz w:val="28"/>
                      <w:szCs w:val="28"/>
                      <w:lang w:eastAsia="it-IT"/>
                    </w:rPr>
                  </w:pPr>
                  <w:r w:rsidRPr="00B453D8">
                    <w:rPr>
                      <w:rFonts w:ascii="Times New Roman" w:eastAsia="Times New Roman" w:hAnsi="Times New Roman" w:cs="Times New Roman"/>
                      <w:sz w:val="28"/>
                      <w:szCs w:val="28"/>
                      <w:lang w:eastAsia="it-IT"/>
                    </w:rPr>
                    <w:t> </w:t>
                  </w:r>
                </w:p>
              </w:tc>
              <w:tc>
                <w:tcPr>
                  <w:tcW w:w="0" w:type="auto"/>
                  <w:vAlign w:val="center"/>
                  <w:hideMark/>
                </w:tcPr>
                <w:p w:rsidR="00B453D8" w:rsidRPr="00B453D8" w:rsidRDefault="00B453D8" w:rsidP="00B453D8">
                  <w:pPr>
                    <w:spacing w:after="0" w:line="240" w:lineRule="auto"/>
                    <w:jc w:val="center"/>
                    <w:rPr>
                      <w:rFonts w:ascii="Times New Roman" w:eastAsia="Times New Roman" w:hAnsi="Times New Roman" w:cs="Times New Roman"/>
                      <w:sz w:val="28"/>
                      <w:szCs w:val="28"/>
                      <w:lang w:eastAsia="it-IT"/>
                    </w:rPr>
                  </w:pPr>
                </w:p>
              </w:tc>
              <w:tc>
                <w:tcPr>
                  <w:tcW w:w="0" w:type="auto"/>
                  <w:vAlign w:val="center"/>
                  <w:hideMark/>
                </w:tcPr>
                <w:p w:rsidR="00B453D8" w:rsidRPr="00B453D8" w:rsidRDefault="00B453D8" w:rsidP="00B453D8">
                  <w:pPr>
                    <w:spacing w:after="0" w:line="240" w:lineRule="auto"/>
                    <w:jc w:val="center"/>
                    <w:rPr>
                      <w:rFonts w:ascii="Times New Roman" w:eastAsia="Times New Roman" w:hAnsi="Times New Roman" w:cs="Times New Roman"/>
                      <w:sz w:val="28"/>
                      <w:szCs w:val="28"/>
                      <w:lang w:eastAsia="it-IT"/>
                    </w:rPr>
                  </w:pPr>
                </w:p>
              </w:tc>
            </w:tr>
            <w:tr w:rsidR="00B453D8" w:rsidRPr="00B453D8">
              <w:trPr>
                <w:jc w:val="center"/>
              </w:trPr>
              <w:tc>
                <w:tcPr>
                  <w:tcW w:w="0" w:type="auto"/>
                  <w:vAlign w:val="center"/>
                  <w:hideMark/>
                </w:tcPr>
                <w:p w:rsidR="00B453D8" w:rsidRPr="00B453D8" w:rsidRDefault="00B453D8" w:rsidP="00B453D8">
                  <w:pPr>
                    <w:spacing w:after="0" w:line="240" w:lineRule="auto"/>
                    <w:jc w:val="center"/>
                    <w:rPr>
                      <w:rFonts w:ascii="Times New Roman" w:eastAsia="Times New Roman" w:hAnsi="Times New Roman" w:cs="Times New Roman"/>
                      <w:sz w:val="28"/>
                      <w:szCs w:val="28"/>
                      <w:lang w:eastAsia="it-IT"/>
                    </w:rPr>
                  </w:pPr>
                  <w:r w:rsidRPr="00B453D8">
                    <w:rPr>
                      <w:rFonts w:ascii="Times New Roman" w:eastAsia="Times New Roman" w:hAnsi="Times New Roman" w:cs="Times New Roman"/>
                      <w:sz w:val="28"/>
                      <w:szCs w:val="28"/>
                      <w:lang w:eastAsia="it-IT"/>
                    </w:rPr>
                    <w:t> </w:t>
                  </w:r>
                </w:p>
              </w:tc>
              <w:tc>
                <w:tcPr>
                  <w:tcW w:w="0" w:type="auto"/>
                  <w:vAlign w:val="center"/>
                  <w:hideMark/>
                </w:tcPr>
                <w:p w:rsidR="00B453D8" w:rsidRPr="00B453D8" w:rsidRDefault="00B453D8" w:rsidP="00B453D8">
                  <w:pPr>
                    <w:spacing w:after="0" w:line="240" w:lineRule="auto"/>
                    <w:jc w:val="center"/>
                    <w:rPr>
                      <w:rFonts w:ascii="Times New Roman" w:eastAsia="Times New Roman" w:hAnsi="Times New Roman" w:cs="Times New Roman"/>
                      <w:sz w:val="28"/>
                      <w:szCs w:val="28"/>
                      <w:lang w:eastAsia="it-IT"/>
                    </w:rPr>
                  </w:pPr>
                </w:p>
              </w:tc>
              <w:tc>
                <w:tcPr>
                  <w:tcW w:w="0" w:type="auto"/>
                  <w:vAlign w:val="center"/>
                  <w:hideMark/>
                </w:tcPr>
                <w:p w:rsidR="00B453D8" w:rsidRPr="00B453D8" w:rsidRDefault="00B453D8" w:rsidP="00B453D8">
                  <w:pPr>
                    <w:spacing w:after="0" w:line="240" w:lineRule="auto"/>
                    <w:jc w:val="center"/>
                    <w:rPr>
                      <w:rFonts w:ascii="Times New Roman" w:eastAsia="Times New Roman" w:hAnsi="Times New Roman" w:cs="Times New Roman"/>
                      <w:sz w:val="28"/>
                      <w:szCs w:val="28"/>
                      <w:lang w:eastAsia="it-IT"/>
                    </w:rPr>
                  </w:pPr>
                </w:p>
              </w:tc>
            </w:tr>
            <w:tr w:rsidR="00B453D8" w:rsidRPr="00B453D8">
              <w:trPr>
                <w:jc w:val="center"/>
              </w:trPr>
              <w:tc>
                <w:tcPr>
                  <w:tcW w:w="0" w:type="auto"/>
                  <w:vAlign w:val="center"/>
                  <w:hideMark/>
                </w:tcPr>
                <w:p w:rsidR="00B453D8" w:rsidRPr="00B453D8" w:rsidRDefault="00B453D8" w:rsidP="00B453D8">
                  <w:pPr>
                    <w:spacing w:after="0" w:line="240" w:lineRule="auto"/>
                    <w:jc w:val="center"/>
                    <w:rPr>
                      <w:rFonts w:ascii="Times New Roman" w:eastAsia="Times New Roman" w:hAnsi="Times New Roman" w:cs="Times New Roman"/>
                      <w:sz w:val="28"/>
                      <w:szCs w:val="28"/>
                      <w:lang w:eastAsia="it-IT"/>
                    </w:rPr>
                  </w:pPr>
                  <w:r w:rsidRPr="00B453D8">
                    <w:rPr>
                      <w:rFonts w:ascii="Times New Roman" w:eastAsia="Times New Roman" w:hAnsi="Times New Roman" w:cs="Times New Roman"/>
                      <w:sz w:val="28"/>
                      <w:szCs w:val="28"/>
                      <w:lang w:eastAsia="it-IT"/>
                    </w:rPr>
                    <w:t> </w:t>
                  </w:r>
                </w:p>
              </w:tc>
              <w:tc>
                <w:tcPr>
                  <w:tcW w:w="0" w:type="auto"/>
                  <w:vAlign w:val="center"/>
                  <w:hideMark/>
                </w:tcPr>
                <w:p w:rsidR="00B453D8" w:rsidRPr="00B453D8" w:rsidRDefault="00B453D8" w:rsidP="00B453D8">
                  <w:pPr>
                    <w:spacing w:after="0" w:line="240" w:lineRule="auto"/>
                    <w:jc w:val="center"/>
                    <w:rPr>
                      <w:rFonts w:ascii="Times New Roman" w:eastAsia="Times New Roman" w:hAnsi="Times New Roman" w:cs="Times New Roman"/>
                      <w:sz w:val="28"/>
                      <w:szCs w:val="28"/>
                      <w:lang w:eastAsia="it-IT"/>
                    </w:rPr>
                  </w:pPr>
                </w:p>
              </w:tc>
              <w:tc>
                <w:tcPr>
                  <w:tcW w:w="0" w:type="auto"/>
                  <w:vAlign w:val="center"/>
                  <w:hideMark/>
                </w:tcPr>
                <w:p w:rsidR="00B453D8" w:rsidRPr="00B453D8" w:rsidRDefault="00B453D8" w:rsidP="00B453D8">
                  <w:pPr>
                    <w:spacing w:after="0" w:line="240" w:lineRule="auto"/>
                    <w:jc w:val="center"/>
                    <w:rPr>
                      <w:rFonts w:ascii="Times New Roman" w:eastAsia="Times New Roman" w:hAnsi="Times New Roman" w:cs="Times New Roman"/>
                      <w:sz w:val="28"/>
                      <w:szCs w:val="28"/>
                      <w:lang w:eastAsia="it-IT"/>
                    </w:rPr>
                  </w:pPr>
                </w:p>
              </w:tc>
            </w:tr>
          </w:tbl>
          <w:p w:rsidR="00B453D8" w:rsidRPr="00B453D8" w:rsidRDefault="00B453D8" w:rsidP="00B453D8">
            <w:pPr>
              <w:spacing w:after="0" w:line="540" w:lineRule="atLeast"/>
              <w:jc w:val="center"/>
              <w:rPr>
                <w:rFonts w:ascii="Garamond" w:eastAsia="Times New Roman" w:hAnsi="Garamond" w:cs="Arial"/>
                <w:color w:val="000000"/>
                <w:sz w:val="30"/>
                <w:szCs w:val="30"/>
                <w:lang w:eastAsia="it-IT"/>
              </w:rPr>
            </w:pPr>
            <w:r w:rsidRPr="00B453D8">
              <w:rPr>
                <w:rFonts w:ascii="Garamond" w:eastAsia="Times New Roman" w:hAnsi="Garamond" w:cs="Arial"/>
                <w:color w:val="000000"/>
                <w:sz w:val="30"/>
                <w:szCs w:val="30"/>
                <w:lang w:eastAsia="it-IT"/>
              </w:rPr>
              <w:t>IL SEGRETARIO</w:t>
            </w:r>
          </w:p>
          <w:p w:rsidR="00B453D8" w:rsidRPr="00B453D8" w:rsidRDefault="00B453D8" w:rsidP="00B453D8">
            <w:pPr>
              <w:spacing w:after="0" w:line="540" w:lineRule="atLeast"/>
              <w:jc w:val="center"/>
              <w:rPr>
                <w:rFonts w:ascii="Garamond" w:eastAsia="Times New Roman" w:hAnsi="Garamond" w:cs="Arial"/>
                <w:color w:val="000000"/>
                <w:sz w:val="30"/>
                <w:szCs w:val="30"/>
                <w:lang w:eastAsia="it-IT"/>
              </w:rPr>
            </w:pPr>
            <w:r w:rsidRPr="00B453D8">
              <w:rPr>
                <w:rFonts w:ascii="Garamond" w:eastAsia="Times New Roman" w:hAnsi="Garamond" w:cs="Arial"/>
                <w:color w:val="000000"/>
                <w:sz w:val="30"/>
                <w:szCs w:val="30"/>
                <w:lang w:eastAsia="it-IT"/>
              </w:rPr>
              <w:t xml:space="preserve">Maria Luisa </w:t>
            </w:r>
            <w:proofErr w:type="spellStart"/>
            <w:r w:rsidRPr="00B453D8">
              <w:rPr>
                <w:rFonts w:ascii="Garamond" w:eastAsia="Times New Roman" w:hAnsi="Garamond" w:cs="Arial"/>
                <w:color w:val="000000"/>
                <w:sz w:val="30"/>
                <w:szCs w:val="30"/>
                <w:lang w:eastAsia="it-IT"/>
              </w:rPr>
              <w:t>Salvini</w:t>
            </w:r>
            <w:proofErr w:type="spellEnd"/>
          </w:p>
        </w:tc>
      </w:tr>
    </w:tbl>
    <w:p w:rsidR="00E96B68" w:rsidRDefault="00E96B68"/>
    <w:sectPr w:rsidR="00E96B6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 Nordi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474"/>
    <w:rsid w:val="000E21F9"/>
    <w:rsid w:val="00301D76"/>
    <w:rsid w:val="003B360E"/>
    <w:rsid w:val="007C7474"/>
    <w:rsid w:val="007D1838"/>
    <w:rsid w:val="0096156F"/>
    <w:rsid w:val="00A95FBA"/>
    <w:rsid w:val="00AC6FBE"/>
    <w:rsid w:val="00B453D8"/>
    <w:rsid w:val="00BF7AC7"/>
    <w:rsid w:val="00CA6CEB"/>
    <w:rsid w:val="00D90EDD"/>
    <w:rsid w:val="00E41564"/>
    <w:rsid w:val="00E96B68"/>
    <w:rsid w:val="00F277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453D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53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453D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53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19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8</Pages>
  <Words>1912</Words>
  <Characters>10901</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2016-02-15T11:10:00Z</dcterms:created>
  <dcterms:modified xsi:type="dcterms:W3CDTF">2016-02-15T14:54:00Z</dcterms:modified>
</cp:coreProperties>
</file>