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4A37F" w14:textId="77777777" w:rsidR="00436E03" w:rsidRDefault="00F32EA4" w:rsidP="00DD422D">
      <w:pPr>
        <w:pStyle w:val="NormalWeb"/>
        <w:spacing w:after="120"/>
        <w:jc w:val="center"/>
        <w:rPr>
          <w:b/>
          <w:bCs/>
          <w:color w:val="000000"/>
          <w:sz w:val="28"/>
          <w:szCs w:val="26"/>
        </w:rPr>
      </w:pPr>
      <w:r>
        <w:rPr>
          <w:b/>
          <w:bCs/>
          <w:noProof/>
          <w:color w:val="000000"/>
          <w:sz w:val="28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088F17" wp14:editId="0B6643FE">
                <wp:simplePos x="0" y="0"/>
                <wp:positionH relativeFrom="page">
                  <wp:posOffset>3854450</wp:posOffset>
                </wp:positionH>
                <wp:positionV relativeFrom="paragraph">
                  <wp:posOffset>-11430</wp:posOffset>
                </wp:positionV>
                <wp:extent cx="3710940" cy="1464945"/>
                <wp:effectExtent l="0" t="0" r="0" b="0"/>
                <wp:wrapNone/>
                <wp:docPr id="204" name="Rettangolo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0940" cy="1464945"/>
                        </a:xfrm>
                        <a:prstGeom prst="rect">
                          <a:avLst/>
                        </a:prstGeom>
                        <a:solidFill>
                          <a:srgbClr val="93939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C571A25" id="Rettangolo 204" o:spid="_x0000_s1026" style="position:absolute;margin-left:303.5pt;margin-top:-.9pt;width:292.2pt;height:115.3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" fillcolor="#939396" stroked="f" strokeweight="1pt">
                <w10:wrap anchorx="page"/>
              </v:rect>
            </w:pict>
          </mc:Fallback>
        </mc:AlternateContent>
      </w:r>
      <w:r>
        <w:rPr>
          <w:b/>
          <w:bCs/>
          <w:noProof/>
          <w:color w:val="000000"/>
          <w:sz w:val="28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4B2A8E" wp14:editId="77AC8E22">
                <wp:simplePos x="0" y="0"/>
                <wp:positionH relativeFrom="column">
                  <wp:posOffset>3600450</wp:posOffset>
                </wp:positionH>
                <wp:positionV relativeFrom="paragraph">
                  <wp:posOffset>152400</wp:posOffset>
                </wp:positionV>
                <wp:extent cx="2857500" cy="1272540"/>
                <wp:effectExtent l="0" t="0" r="0" b="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127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450CD" w14:textId="77777777" w:rsidR="00E91ECB" w:rsidRPr="00E91ECB" w:rsidRDefault="00E91ECB" w:rsidP="00E91ECB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="AbhayaLibre-ExtraBold" w:hAnsi="AbhayaLibre-ExtraBold" w:cs="AbhayaLibre-ExtraBold"/>
                                <w:b/>
                                <w:bCs/>
                                <w:color w:val="FFFFFF"/>
                                <w:sz w:val="29"/>
                                <w:szCs w:val="35"/>
                              </w:rPr>
                            </w:pPr>
                            <w:r w:rsidRPr="00E91ECB">
                              <w:rPr>
                                <w:rFonts w:ascii="AbhayaLibre-ExtraBold" w:hAnsi="AbhayaLibre-ExtraBold" w:cs="AbhayaLibre-ExtraBold"/>
                                <w:b/>
                                <w:bCs/>
                                <w:color w:val="FFFFFF"/>
                                <w:sz w:val="29"/>
                                <w:szCs w:val="35"/>
                              </w:rPr>
                              <w:t>Comunicato Stampa</w:t>
                            </w:r>
                          </w:p>
                          <w:p w14:paraId="614C968C" w14:textId="77777777" w:rsidR="00E91ECB" w:rsidRDefault="00E91ECB" w:rsidP="00E91ECB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Raleway-Regular" w:hAnsi="Raleway-Regular" w:cs="Raleway-Regular"/>
                                <w:color w:val="FFFFFF"/>
                              </w:rPr>
                            </w:pPr>
                            <w:r>
                              <w:rPr>
                                <w:rFonts w:ascii="Raleway-Regular" w:hAnsi="Raleway-Regular" w:cs="Raleway-Regular"/>
                                <w:color w:val="FFFFFF"/>
                              </w:rPr>
                              <w:t>Ufficio Stampa</w:t>
                            </w:r>
                          </w:p>
                          <w:p w14:paraId="52385D0A" w14:textId="77777777" w:rsidR="00E91ECB" w:rsidRDefault="00E91ECB" w:rsidP="00E91ECB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Raleway-Regular" w:hAnsi="Raleway-Regular" w:cs="Raleway-Regular"/>
                                <w:color w:val="FFFFFF"/>
                              </w:rPr>
                            </w:pPr>
                            <w:r>
                              <w:rPr>
                                <w:rFonts w:ascii="Raleway-Regular" w:hAnsi="Raleway-Regular" w:cs="Raleway-Regular"/>
                                <w:color w:val="FFFFFF"/>
                              </w:rPr>
                              <w:t>T +39.06.45445148</w:t>
                            </w:r>
                          </w:p>
                          <w:p w14:paraId="57561CDA" w14:textId="77777777" w:rsidR="00E91ECB" w:rsidRDefault="00E91ECB" w:rsidP="00E91ECB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Raleway-Regular" w:hAnsi="Raleway-Regular" w:cs="Raleway-Regular"/>
                                <w:color w:val="FFFFFF"/>
                              </w:rPr>
                            </w:pPr>
                            <w:r>
                              <w:rPr>
                                <w:rFonts w:ascii="Raleway-Regular" w:hAnsi="Raleway-Regular" w:cs="Raleway-Regular"/>
                                <w:color w:val="FFFFFF"/>
                              </w:rPr>
                              <w:t>www.saccuccipartners.com</w:t>
                            </w:r>
                          </w:p>
                          <w:p w14:paraId="1D9DB755" w14:textId="77777777" w:rsidR="00E91ECB" w:rsidRPr="00B36726" w:rsidRDefault="00E91ECB" w:rsidP="00E91ECB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Raleway-Regular" w:hAnsi="Raleway-Regular" w:cs="Raleway-Regular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Raleway-Regular" w:hAnsi="Raleway-Regular" w:cs="Raleway-Regular"/>
                                <w:color w:val="FFFFFF"/>
                              </w:rPr>
                              <w:t>studio@saccuccipartners.com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B2A8E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left:0;text-align:left;margin-left:283.5pt;margin-top:12pt;width:225pt;height:10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" filled="f" stroked="f" strokeweight=".5pt">
                <v:textbox>
                  <w:txbxContent>
                    <w:p w14:paraId="387450CD" w14:textId="77777777" w:rsidR="00E91ECB" w:rsidRPr="00E91ECB" w:rsidRDefault="00E91ECB" w:rsidP="00E91ECB">
                      <w:pPr>
                        <w:autoSpaceDE w:val="0"/>
                        <w:autoSpaceDN w:val="0"/>
                        <w:adjustRightInd w:val="0"/>
                        <w:spacing w:after="240"/>
                        <w:jc w:val="center"/>
                        <w:rPr>
                          <w:rFonts w:ascii="AbhayaLibre-ExtraBold" w:hAnsi="AbhayaLibre-ExtraBold" w:cs="AbhayaLibre-ExtraBold"/>
                          <w:b/>
                          <w:bCs/>
                          <w:color w:val="FFFFFF"/>
                          <w:sz w:val="29"/>
                          <w:szCs w:val="35"/>
                        </w:rPr>
                      </w:pPr>
                      <w:r w:rsidRPr="00E91ECB">
                        <w:rPr>
                          <w:rFonts w:ascii="AbhayaLibre-ExtraBold" w:hAnsi="AbhayaLibre-ExtraBold" w:cs="AbhayaLibre-ExtraBold"/>
                          <w:b/>
                          <w:bCs/>
                          <w:color w:val="FFFFFF"/>
                          <w:sz w:val="29"/>
                          <w:szCs w:val="35"/>
                        </w:rPr>
                        <w:t>Comunicato Stampa</w:t>
                      </w:r>
                    </w:p>
                    <w:p w14:paraId="614C968C" w14:textId="77777777" w:rsidR="00E91ECB" w:rsidRDefault="00E91ECB" w:rsidP="00E91ECB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Raleway-Regular" w:hAnsi="Raleway-Regular" w:cs="Raleway-Regular"/>
                          <w:color w:val="FFFFFF"/>
                        </w:rPr>
                      </w:pPr>
                      <w:r>
                        <w:rPr>
                          <w:rFonts w:ascii="Raleway-Regular" w:hAnsi="Raleway-Regular" w:cs="Raleway-Regular"/>
                          <w:color w:val="FFFFFF"/>
                        </w:rPr>
                        <w:t>Ufficio Stampa</w:t>
                      </w:r>
                    </w:p>
                    <w:p w14:paraId="52385D0A" w14:textId="77777777" w:rsidR="00E91ECB" w:rsidRDefault="00E91ECB" w:rsidP="00E91ECB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Raleway-Regular" w:hAnsi="Raleway-Regular" w:cs="Raleway-Regular"/>
                          <w:color w:val="FFFFFF"/>
                        </w:rPr>
                      </w:pPr>
                      <w:r>
                        <w:rPr>
                          <w:rFonts w:ascii="Raleway-Regular" w:hAnsi="Raleway-Regular" w:cs="Raleway-Regular"/>
                          <w:color w:val="FFFFFF"/>
                        </w:rPr>
                        <w:t>T +39.06.45445148</w:t>
                      </w:r>
                    </w:p>
                    <w:p w14:paraId="57561CDA" w14:textId="77777777" w:rsidR="00E91ECB" w:rsidRDefault="00E91ECB" w:rsidP="00E91ECB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Raleway-Regular" w:hAnsi="Raleway-Regular" w:cs="Raleway-Regular"/>
                          <w:color w:val="FFFFFF"/>
                        </w:rPr>
                      </w:pPr>
                      <w:r>
                        <w:rPr>
                          <w:rFonts w:ascii="Raleway-Regular" w:hAnsi="Raleway-Regular" w:cs="Raleway-Regular"/>
                          <w:color w:val="FFFFFF"/>
                        </w:rPr>
                        <w:t>www.saccuccipartners.com</w:t>
                      </w:r>
                    </w:p>
                    <w:p w14:paraId="1D9DB755" w14:textId="77777777" w:rsidR="00E91ECB" w:rsidRPr="00B36726" w:rsidRDefault="00E91ECB" w:rsidP="00E91ECB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Raleway-Regular" w:hAnsi="Raleway-Regular" w:cs="Raleway-Regular"/>
                          <w:color w:val="FFFFFF" w:themeColor="background1"/>
                        </w:rPr>
                      </w:pPr>
                      <w:r>
                        <w:rPr>
                          <w:rFonts w:ascii="Raleway-Regular" w:hAnsi="Raleway-Regular" w:cs="Raleway-Regular"/>
                          <w:color w:val="FFFFFF"/>
                        </w:rPr>
                        <w:t>studio@saccuccipartners.com</w:t>
                      </w:r>
                    </w:p>
                  </w:txbxContent>
                </v:textbox>
              </v:shape>
            </w:pict>
          </mc:Fallback>
        </mc:AlternateContent>
      </w:r>
      <w:r w:rsidR="00B36726" w:rsidRPr="00ED0917">
        <w:rPr>
          <w:rFonts w:ascii="AbhayaLibre-ExtraBold" w:hAnsi="AbhayaLibre-ExtraBold" w:cs="AbhayaLibre-ExtraBold"/>
          <w:b/>
          <w:bCs/>
          <w:noProof/>
          <w:color w:val="616160"/>
          <w:sz w:val="53"/>
          <w:szCs w:val="53"/>
          <w:lang w:eastAsia="it-IT"/>
        </w:rPr>
        <w:drawing>
          <wp:anchor distT="0" distB="0" distL="114300" distR="114300" simplePos="0" relativeHeight="251658241" behindDoc="0" locked="0" layoutInCell="1" allowOverlap="1" wp14:anchorId="31D594A1" wp14:editId="69B3BC14">
            <wp:simplePos x="0" y="0"/>
            <wp:positionH relativeFrom="column">
              <wp:posOffset>-552450</wp:posOffset>
            </wp:positionH>
            <wp:positionV relativeFrom="paragraph">
              <wp:posOffset>350520</wp:posOffset>
            </wp:positionV>
            <wp:extent cx="3246120" cy="648970"/>
            <wp:effectExtent l="0" t="0" r="0" b="0"/>
            <wp:wrapSquare wrapText="bothSides"/>
            <wp:docPr id="1" name="Immagine 1" descr="\\SRV-DC\Dati\STUDIO\Amministrazione\Comunicazione e pubblicità\loghi\Saccucci &amp; Partners\Logo-500x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C\Dati\STUDIO\Amministrazione\Comunicazione e pubblicità\loghi\Saccucci &amp; Partners\Logo-500x1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911B26" w14:textId="77777777" w:rsidR="00436E03" w:rsidRDefault="00436E03" w:rsidP="00DD422D">
      <w:pPr>
        <w:pStyle w:val="NormalWeb"/>
        <w:spacing w:after="120"/>
        <w:jc w:val="center"/>
        <w:rPr>
          <w:b/>
          <w:bCs/>
          <w:color w:val="000000"/>
          <w:sz w:val="28"/>
          <w:szCs w:val="26"/>
        </w:rPr>
      </w:pPr>
    </w:p>
    <w:p w14:paraId="31CB5CBE" w14:textId="77777777" w:rsidR="00436E03" w:rsidRDefault="00436E03" w:rsidP="00DD422D">
      <w:pPr>
        <w:pStyle w:val="NormalWeb"/>
        <w:spacing w:after="120"/>
        <w:jc w:val="center"/>
        <w:rPr>
          <w:b/>
          <w:bCs/>
          <w:color w:val="000000"/>
          <w:sz w:val="28"/>
          <w:szCs w:val="26"/>
        </w:rPr>
      </w:pPr>
    </w:p>
    <w:p w14:paraId="61B1B9FE" w14:textId="77777777" w:rsidR="00436E03" w:rsidRDefault="00436E03" w:rsidP="00DD422D">
      <w:pPr>
        <w:pStyle w:val="NormalWeb"/>
        <w:spacing w:after="120"/>
        <w:jc w:val="center"/>
        <w:rPr>
          <w:b/>
          <w:bCs/>
          <w:color w:val="000000"/>
          <w:sz w:val="28"/>
          <w:szCs w:val="26"/>
        </w:rPr>
      </w:pPr>
    </w:p>
    <w:p w14:paraId="7A391E5C" w14:textId="77777777" w:rsidR="00ED0917" w:rsidRDefault="00F32EA4" w:rsidP="00ED0917">
      <w:pPr>
        <w:autoSpaceDE w:val="0"/>
        <w:autoSpaceDN w:val="0"/>
        <w:adjustRightInd w:val="0"/>
        <w:jc w:val="center"/>
        <w:rPr>
          <w:rFonts w:ascii="AbhayaLibre-ExtraBold" w:hAnsi="AbhayaLibre-ExtraBold" w:cs="AbhayaLibre-ExtraBold"/>
          <w:b/>
          <w:bCs/>
          <w:color w:val="616160"/>
          <w:sz w:val="53"/>
          <w:szCs w:val="53"/>
        </w:rPr>
      </w:pPr>
      <w:r>
        <w:rPr>
          <w:b/>
          <w:bCs/>
          <w:noProof/>
          <w:color w:val="000000"/>
          <w:sz w:val="28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F433212" wp14:editId="3FE4981B">
                <wp:simplePos x="0" y="0"/>
                <wp:positionH relativeFrom="page">
                  <wp:align>left</wp:align>
                </wp:positionH>
                <wp:positionV relativeFrom="paragraph">
                  <wp:posOffset>280670</wp:posOffset>
                </wp:positionV>
                <wp:extent cx="7559040" cy="213360"/>
                <wp:effectExtent l="0" t="0" r="0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040" cy="213360"/>
                        </a:xfrm>
                        <a:prstGeom prst="rect">
                          <a:avLst/>
                        </a:prstGeom>
                        <a:solidFill>
                          <a:srgbClr val="6F211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40C49C0" id="Rettangolo 8" o:spid="_x0000_s1026" style="position:absolute;margin-left:0;margin-top:22.1pt;width:595.2pt;height:16.8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" fillcolor="#6f211d" stroked="f" strokeweight="1pt">
                <w10:wrap anchorx="page"/>
              </v:rect>
            </w:pict>
          </mc:Fallback>
        </mc:AlternateContent>
      </w:r>
    </w:p>
    <w:p w14:paraId="7C4EAE7F" w14:textId="77777777" w:rsidR="00ED0917" w:rsidRDefault="00ED0917" w:rsidP="00ED0917">
      <w:pPr>
        <w:autoSpaceDE w:val="0"/>
        <w:autoSpaceDN w:val="0"/>
        <w:adjustRightInd w:val="0"/>
        <w:jc w:val="center"/>
        <w:rPr>
          <w:rFonts w:ascii="AbhayaLibre-ExtraBold" w:hAnsi="AbhayaLibre-ExtraBold" w:cs="AbhayaLibre-ExtraBold"/>
          <w:b/>
          <w:bCs/>
          <w:color w:val="616160"/>
          <w:sz w:val="53"/>
          <w:szCs w:val="53"/>
        </w:rPr>
      </w:pPr>
    </w:p>
    <w:p w14:paraId="39855D37" w14:textId="30365441" w:rsidR="000E6C43" w:rsidRPr="00B23621" w:rsidRDefault="00776605" w:rsidP="00B23621">
      <w:pPr>
        <w:autoSpaceDE w:val="0"/>
        <w:autoSpaceDN w:val="0"/>
        <w:adjustRightInd w:val="0"/>
        <w:jc w:val="center"/>
        <w:rPr>
          <w:rFonts w:ascii="AbhayaLibre-ExtraBold" w:hAnsi="AbhayaLibre-ExtraBold" w:cs="AbhayaLibre-ExtraBold"/>
          <w:b/>
          <w:bCs/>
          <w:color w:val="616160"/>
          <w:sz w:val="52"/>
          <w:szCs w:val="52"/>
        </w:rPr>
      </w:pPr>
      <w:r>
        <w:rPr>
          <w:rFonts w:ascii="AbhayaLibre-ExtraBold" w:hAnsi="AbhayaLibre-ExtraBold" w:cs="AbhayaLibre-ExtraBold"/>
          <w:b/>
          <w:bCs/>
          <w:color w:val="616160"/>
          <w:sz w:val="52"/>
          <w:szCs w:val="52"/>
        </w:rPr>
        <w:t>L</w:t>
      </w:r>
      <w:r w:rsidR="00466734">
        <w:rPr>
          <w:rFonts w:ascii="AbhayaLibre-ExtraBold" w:hAnsi="AbhayaLibre-ExtraBold" w:cs="AbhayaLibre-ExtraBold"/>
          <w:b/>
          <w:bCs/>
          <w:color w:val="616160"/>
          <w:sz w:val="52"/>
          <w:szCs w:val="52"/>
        </w:rPr>
        <w:t xml:space="preserve">a </w:t>
      </w:r>
      <w:r w:rsidR="00B23621">
        <w:rPr>
          <w:rFonts w:ascii="AbhayaLibre-ExtraBold" w:hAnsi="AbhayaLibre-ExtraBold" w:cs="AbhayaLibre-ExtraBold"/>
          <w:b/>
          <w:bCs/>
          <w:color w:val="616160"/>
          <w:sz w:val="52"/>
          <w:szCs w:val="52"/>
        </w:rPr>
        <w:t xml:space="preserve">Corte europea </w:t>
      </w:r>
      <w:r w:rsidR="001B32BA" w:rsidRPr="000B7C85">
        <w:rPr>
          <w:rFonts w:ascii="AbhayaLibre-ExtraBold" w:hAnsi="AbhayaLibre-ExtraBold" w:cs="AbhayaLibre-ExtraBold"/>
          <w:b/>
          <w:bCs/>
          <w:color w:val="616160"/>
          <w:sz w:val="52"/>
          <w:szCs w:val="52"/>
        </w:rPr>
        <w:t>condanna l’Italia</w:t>
      </w:r>
      <w:r w:rsidR="00B23621" w:rsidRPr="000B7C85">
        <w:rPr>
          <w:rFonts w:ascii="AbhayaLibre-ExtraBold" w:hAnsi="AbhayaLibre-ExtraBold" w:cs="AbhayaLibre-ExtraBold"/>
          <w:b/>
          <w:bCs/>
          <w:color w:val="616160"/>
          <w:sz w:val="52"/>
          <w:szCs w:val="52"/>
        </w:rPr>
        <w:t xml:space="preserve"> per </w:t>
      </w:r>
      <w:r w:rsidR="00D87292">
        <w:rPr>
          <w:rFonts w:ascii="AbhayaLibre-ExtraBold" w:hAnsi="AbhayaLibre-ExtraBold" w:cs="AbhayaLibre-ExtraBold"/>
          <w:b/>
          <w:bCs/>
          <w:color w:val="616160"/>
          <w:sz w:val="52"/>
          <w:szCs w:val="52"/>
        </w:rPr>
        <w:t>le Fonderie Pisano</w:t>
      </w:r>
    </w:p>
    <w:p w14:paraId="4C55D6A1" w14:textId="77777777" w:rsidR="00B23621" w:rsidRDefault="00B23621" w:rsidP="00ED0917">
      <w:pPr>
        <w:autoSpaceDE w:val="0"/>
        <w:autoSpaceDN w:val="0"/>
        <w:adjustRightInd w:val="0"/>
        <w:spacing w:line="360" w:lineRule="auto"/>
        <w:jc w:val="both"/>
        <w:rPr>
          <w:rFonts w:ascii="LibreBaskerville-Bold" w:hAnsi="LibreBaskerville-Bold" w:cs="LibreBaskerville-Bold"/>
          <w:b/>
          <w:bCs/>
          <w:color w:val="616160"/>
          <w:sz w:val="21"/>
          <w:szCs w:val="21"/>
        </w:rPr>
      </w:pPr>
    </w:p>
    <w:p w14:paraId="1417BB8D" w14:textId="24277ACC" w:rsidR="00ED0917" w:rsidRPr="00B23621" w:rsidRDefault="00823036" w:rsidP="00AB6E77">
      <w:pPr>
        <w:autoSpaceDE w:val="0"/>
        <w:autoSpaceDN w:val="0"/>
        <w:adjustRightInd w:val="0"/>
        <w:jc w:val="both"/>
        <w:rPr>
          <w:rFonts w:ascii="AbhayaLibre-ExtraBold" w:hAnsi="AbhayaLibre-ExtraBold" w:cs="AbhayaLibre-ExtraBold"/>
          <w:b/>
          <w:bCs/>
          <w:color w:val="616160"/>
          <w:sz w:val="32"/>
          <w:szCs w:val="52"/>
        </w:rPr>
      </w:pPr>
      <w:r>
        <w:rPr>
          <w:rFonts w:ascii="AbhayaLibre-ExtraBold" w:hAnsi="AbhayaLibre-ExtraBold" w:cs="AbhayaLibre-ExtraBold"/>
          <w:b/>
          <w:bCs/>
          <w:color w:val="616160"/>
          <w:sz w:val="32"/>
          <w:szCs w:val="52"/>
        </w:rPr>
        <w:t>Accolto</w:t>
      </w:r>
      <w:r w:rsidR="009376B4">
        <w:rPr>
          <w:rFonts w:ascii="AbhayaLibre-ExtraBold" w:hAnsi="AbhayaLibre-ExtraBold" w:cs="AbhayaLibre-ExtraBold"/>
          <w:b/>
          <w:bCs/>
          <w:color w:val="616160"/>
          <w:sz w:val="32"/>
          <w:szCs w:val="52"/>
        </w:rPr>
        <w:t xml:space="preserve"> </w:t>
      </w:r>
      <w:r>
        <w:rPr>
          <w:rFonts w:ascii="AbhayaLibre-ExtraBold" w:hAnsi="AbhayaLibre-ExtraBold" w:cs="AbhayaLibre-ExtraBold"/>
          <w:b/>
          <w:bCs/>
          <w:color w:val="616160"/>
          <w:sz w:val="32"/>
          <w:szCs w:val="52"/>
        </w:rPr>
        <w:t xml:space="preserve">il ricorso presentato nel </w:t>
      </w:r>
      <w:r w:rsidR="00C701FB">
        <w:rPr>
          <w:rFonts w:ascii="AbhayaLibre-ExtraBold" w:hAnsi="AbhayaLibre-ExtraBold" w:cs="AbhayaLibre-ExtraBold"/>
          <w:b/>
          <w:bCs/>
          <w:color w:val="616160"/>
          <w:sz w:val="32"/>
          <w:szCs w:val="52"/>
        </w:rPr>
        <w:t>2018</w:t>
      </w:r>
      <w:r>
        <w:rPr>
          <w:rFonts w:ascii="AbhayaLibre-ExtraBold" w:hAnsi="AbhayaLibre-ExtraBold" w:cs="AbhayaLibre-ExtraBold"/>
          <w:b/>
          <w:bCs/>
          <w:color w:val="616160"/>
          <w:sz w:val="32"/>
          <w:szCs w:val="52"/>
        </w:rPr>
        <w:t xml:space="preserve"> dallo Studio Saccucci &amp; Partners </w:t>
      </w:r>
    </w:p>
    <w:p w14:paraId="6D82DAA0" w14:textId="77777777" w:rsidR="00B23621" w:rsidRDefault="00B23621" w:rsidP="00ED0917">
      <w:pPr>
        <w:autoSpaceDE w:val="0"/>
        <w:autoSpaceDN w:val="0"/>
        <w:adjustRightInd w:val="0"/>
        <w:spacing w:line="360" w:lineRule="auto"/>
        <w:jc w:val="both"/>
        <w:rPr>
          <w:rFonts w:ascii="LibreBaskerville-Bold" w:hAnsi="LibreBaskerville-Bold" w:cs="LibreBaskerville-Bold"/>
          <w:b/>
          <w:bCs/>
          <w:color w:val="616160"/>
          <w:sz w:val="24"/>
          <w:szCs w:val="24"/>
        </w:rPr>
      </w:pPr>
    </w:p>
    <w:p w14:paraId="7B87869A" w14:textId="199EAAFF" w:rsidR="0056402A" w:rsidRDefault="0080799B" w:rsidP="007A5DFA">
      <w:pPr>
        <w:autoSpaceDE w:val="0"/>
        <w:autoSpaceDN w:val="0"/>
        <w:adjustRightInd w:val="0"/>
        <w:spacing w:after="120" w:line="360" w:lineRule="auto"/>
        <w:jc w:val="both"/>
        <w:rPr>
          <w:rFonts w:ascii="LibreBaskerville-Regular" w:hAnsi="LibreBaskerville-Regular" w:cs="LibreBaskerville-Regular"/>
          <w:b/>
          <w:color w:val="616160"/>
        </w:rPr>
      </w:pPr>
      <w:r>
        <w:rPr>
          <w:rFonts w:ascii="LibreBaskerville-Bold" w:hAnsi="LibreBaskerville-Bold" w:cs="LibreBaskerville-Bold"/>
          <w:color w:val="616160"/>
        </w:rPr>
        <w:t>C</w:t>
      </w:r>
      <w:r w:rsidR="00026A6B" w:rsidRPr="007A5DFA">
        <w:rPr>
          <w:rFonts w:ascii="LibreBaskerville-Bold" w:hAnsi="LibreBaskerville-Bold" w:cs="LibreBaskerville-Bold"/>
          <w:color w:val="616160"/>
        </w:rPr>
        <w:t xml:space="preserve">on sentenza del </w:t>
      </w:r>
      <w:r w:rsidR="00C701FB">
        <w:rPr>
          <w:rFonts w:ascii="LibreBaskerville-Bold" w:hAnsi="LibreBaskerville-Bold" w:cs="LibreBaskerville-Bold"/>
          <w:color w:val="616160"/>
        </w:rPr>
        <w:t>6</w:t>
      </w:r>
      <w:r w:rsidR="00026A6B" w:rsidRPr="007A5DFA">
        <w:rPr>
          <w:rFonts w:ascii="LibreBaskerville-Bold" w:hAnsi="LibreBaskerville-Bold" w:cs="LibreBaskerville-Bold"/>
          <w:color w:val="616160"/>
        </w:rPr>
        <w:t xml:space="preserve"> maggio 202</w:t>
      </w:r>
      <w:r w:rsidR="00C701FB">
        <w:rPr>
          <w:rFonts w:ascii="LibreBaskerville-Bold" w:hAnsi="LibreBaskerville-Bold" w:cs="LibreBaskerville-Bold"/>
          <w:color w:val="616160"/>
        </w:rPr>
        <w:t>5</w:t>
      </w:r>
      <w:r w:rsidR="00026A6B" w:rsidRPr="007A5DFA">
        <w:rPr>
          <w:rFonts w:ascii="LibreBaskerville-Bold" w:hAnsi="LibreBaskerville-Bold" w:cs="LibreBaskerville-Bold"/>
          <w:color w:val="616160"/>
        </w:rPr>
        <w:t xml:space="preserve"> pronunciata sul ricorso n. </w:t>
      </w:r>
      <w:r w:rsidR="00C701FB" w:rsidRPr="00C701FB">
        <w:rPr>
          <w:rFonts w:ascii="LibreBaskerville-Bold" w:hAnsi="LibreBaskerville-Bold" w:cs="LibreBaskerville-Bold"/>
          <w:color w:val="616160"/>
        </w:rPr>
        <w:t>52854/18</w:t>
      </w:r>
      <w:r w:rsidR="005C22EE">
        <w:rPr>
          <w:rFonts w:ascii="LibreBaskerville-Bold" w:hAnsi="LibreBaskerville-Bold" w:cs="LibreBaskerville-Bold"/>
          <w:color w:val="616160"/>
        </w:rPr>
        <w:t>,</w:t>
      </w:r>
      <w:r w:rsidR="00C701FB">
        <w:rPr>
          <w:rFonts w:ascii="LibreBaskerville-Bold" w:hAnsi="LibreBaskerville-Bold" w:cs="LibreBaskerville-Bold"/>
          <w:color w:val="616160"/>
        </w:rPr>
        <w:t xml:space="preserve"> </w:t>
      </w:r>
      <w:r w:rsidR="00C701FB">
        <w:rPr>
          <w:rFonts w:ascii="LibreBaskerville-Bold" w:hAnsi="LibreBaskerville-Bold" w:cs="LibreBaskerville-Bold"/>
          <w:i/>
          <w:iCs/>
          <w:color w:val="616160"/>
        </w:rPr>
        <w:t>L.F.</w:t>
      </w:r>
      <w:r w:rsidR="00026A6B" w:rsidRPr="0080799B">
        <w:rPr>
          <w:rFonts w:ascii="LibreBaskerville-Bold" w:hAnsi="LibreBaskerville-Bold" w:cs="LibreBaskerville-Bold"/>
          <w:i/>
          <w:iCs/>
          <w:color w:val="616160"/>
        </w:rPr>
        <w:t xml:space="preserve"> e altri c Italia</w:t>
      </w:r>
      <w:r>
        <w:rPr>
          <w:rFonts w:ascii="LibreBaskerville-Bold" w:hAnsi="LibreBaskerville-Bold" w:cs="LibreBaskerville-Bold"/>
          <w:color w:val="616160"/>
        </w:rPr>
        <w:t xml:space="preserve">, </w:t>
      </w:r>
      <w:r w:rsidRPr="0080799B">
        <w:rPr>
          <w:rFonts w:ascii="LibreBaskerville-Bold" w:hAnsi="LibreBaskerville-Bold" w:cs="LibreBaskerville-Bold"/>
          <w:b/>
          <w:bCs/>
          <w:color w:val="616160"/>
        </w:rPr>
        <w:t>la</w:t>
      </w:r>
      <w:r>
        <w:rPr>
          <w:rFonts w:ascii="LibreBaskerville-Bold" w:hAnsi="LibreBaskerville-Bold" w:cs="LibreBaskerville-Bold"/>
          <w:b/>
          <w:bCs/>
          <w:color w:val="616160"/>
        </w:rPr>
        <w:t xml:space="preserve"> Corte europea dei diritti dell’uomo </w:t>
      </w:r>
      <w:r w:rsidR="007A5DFA" w:rsidRPr="001B32BA">
        <w:rPr>
          <w:rFonts w:ascii="LibreBaskerville-Regular" w:hAnsi="LibreBaskerville-Regular" w:cs="LibreBaskerville-Regular"/>
          <w:color w:val="616160"/>
        </w:rPr>
        <w:t xml:space="preserve">ha </w:t>
      </w:r>
      <w:r w:rsidR="007A5DFA">
        <w:rPr>
          <w:rFonts w:ascii="LibreBaskerville-Regular" w:hAnsi="LibreBaskerville-Regular" w:cs="LibreBaskerville-Regular"/>
          <w:color w:val="616160"/>
        </w:rPr>
        <w:t xml:space="preserve">accertato </w:t>
      </w:r>
      <w:r w:rsidR="00C701FB">
        <w:rPr>
          <w:rFonts w:ascii="LibreBaskerville-Regular" w:hAnsi="LibreBaskerville-Regular" w:cs="LibreBaskerville-Regular"/>
          <w:color w:val="616160"/>
        </w:rPr>
        <w:t xml:space="preserve">la </w:t>
      </w:r>
      <w:r>
        <w:rPr>
          <w:rFonts w:ascii="LibreBaskerville-Regular" w:hAnsi="LibreBaskerville-Regular" w:cs="LibreBaskerville-Regular"/>
          <w:color w:val="616160"/>
        </w:rPr>
        <w:t>violazion</w:t>
      </w:r>
      <w:r w:rsidR="00C701FB">
        <w:rPr>
          <w:rFonts w:ascii="LibreBaskerville-Regular" w:hAnsi="LibreBaskerville-Regular" w:cs="LibreBaskerville-Regular"/>
          <w:color w:val="616160"/>
        </w:rPr>
        <w:t>e</w:t>
      </w:r>
      <w:r>
        <w:rPr>
          <w:rFonts w:ascii="LibreBaskerville-Regular" w:hAnsi="LibreBaskerville-Regular" w:cs="LibreBaskerville-Regular"/>
          <w:color w:val="616160"/>
        </w:rPr>
        <w:t xml:space="preserve"> </w:t>
      </w:r>
      <w:r w:rsidR="007A5DFA" w:rsidRPr="00B64679">
        <w:rPr>
          <w:rFonts w:ascii="LibreBaskerville-Regular" w:hAnsi="LibreBaskerville-Regular" w:cs="LibreBaskerville-Regular"/>
          <w:color w:val="616160"/>
        </w:rPr>
        <w:t xml:space="preserve">dell’art. 8 (“Diritto al rispetto della vita privata e familiare”) della Convenzione </w:t>
      </w:r>
      <w:r w:rsidR="007A5DFA">
        <w:rPr>
          <w:rFonts w:ascii="LibreBaskerville-Regular" w:hAnsi="LibreBaskerville-Regular" w:cs="LibreBaskerville-Regular"/>
          <w:color w:val="616160"/>
        </w:rPr>
        <w:t>e</w:t>
      </w:r>
      <w:r w:rsidR="007A5DFA" w:rsidRPr="00B64679">
        <w:rPr>
          <w:rFonts w:ascii="LibreBaskerville-Regular" w:hAnsi="LibreBaskerville-Regular" w:cs="LibreBaskerville-Regular"/>
          <w:color w:val="616160"/>
        </w:rPr>
        <w:t xml:space="preserve">uropea dei </w:t>
      </w:r>
      <w:r w:rsidR="007A5DFA">
        <w:rPr>
          <w:rFonts w:ascii="LibreBaskerville-Regular" w:hAnsi="LibreBaskerville-Regular" w:cs="LibreBaskerville-Regular"/>
          <w:color w:val="616160"/>
        </w:rPr>
        <w:t>d</w:t>
      </w:r>
      <w:r w:rsidR="007A5DFA" w:rsidRPr="00B64679">
        <w:rPr>
          <w:rFonts w:ascii="LibreBaskerville-Regular" w:hAnsi="LibreBaskerville-Regular" w:cs="LibreBaskerville-Regular"/>
          <w:color w:val="616160"/>
        </w:rPr>
        <w:t>iritti dell’</w:t>
      </w:r>
      <w:r w:rsidR="007A5DFA">
        <w:rPr>
          <w:rFonts w:ascii="LibreBaskerville-Regular" w:hAnsi="LibreBaskerville-Regular" w:cs="LibreBaskerville-Regular"/>
          <w:color w:val="616160"/>
        </w:rPr>
        <w:t>u</w:t>
      </w:r>
      <w:r w:rsidR="007A5DFA" w:rsidRPr="00B64679">
        <w:rPr>
          <w:rFonts w:ascii="LibreBaskerville-Regular" w:hAnsi="LibreBaskerville-Regular" w:cs="LibreBaskerville-Regular"/>
          <w:color w:val="616160"/>
        </w:rPr>
        <w:t>omo</w:t>
      </w:r>
      <w:r w:rsidR="007A5DFA">
        <w:rPr>
          <w:rFonts w:ascii="LibreBaskerville-Regular" w:hAnsi="LibreBaskerville-Regular" w:cs="LibreBaskerville-Regular"/>
          <w:color w:val="616160"/>
        </w:rPr>
        <w:t xml:space="preserve"> (</w:t>
      </w:r>
      <w:r w:rsidR="0056402A">
        <w:rPr>
          <w:rFonts w:ascii="LibreBaskerville-Regular" w:hAnsi="LibreBaskerville-Regular" w:cs="LibreBaskerville-Regular"/>
          <w:color w:val="616160"/>
        </w:rPr>
        <w:t>CEDU) in</w:t>
      </w:r>
      <w:r w:rsidR="007A5DFA">
        <w:rPr>
          <w:rFonts w:ascii="LibreBaskerville-Regular" w:hAnsi="LibreBaskerville-Regular" w:cs="LibreBaskerville-Regular"/>
          <w:color w:val="616160"/>
        </w:rPr>
        <w:t xml:space="preserve"> quanto </w:t>
      </w:r>
      <w:r w:rsidR="007A5DFA">
        <w:rPr>
          <w:rFonts w:ascii="LibreBaskerville-Regular" w:hAnsi="LibreBaskerville-Regular" w:cs="LibreBaskerville-Regular"/>
          <w:b/>
          <w:color w:val="616160"/>
        </w:rPr>
        <w:t xml:space="preserve">le autorità italiane hanno </w:t>
      </w:r>
      <w:r w:rsidR="007A5DFA" w:rsidRPr="00B64679">
        <w:rPr>
          <w:rFonts w:ascii="LibreBaskerville-Regular" w:hAnsi="LibreBaskerville-Regular" w:cs="LibreBaskerville-Regular"/>
          <w:b/>
          <w:color w:val="616160"/>
        </w:rPr>
        <w:t xml:space="preserve">omesso </w:t>
      </w:r>
      <w:r w:rsidRPr="0056402A">
        <w:rPr>
          <w:rFonts w:ascii="LibreBaskerville-Regular" w:hAnsi="LibreBaskerville-Regular" w:cs="LibreBaskerville-Regular"/>
          <w:b/>
          <w:color w:val="616160"/>
        </w:rPr>
        <w:t>l’a</w:t>
      </w:r>
      <w:r w:rsidR="006C06C8" w:rsidRPr="0056402A">
        <w:rPr>
          <w:rFonts w:ascii="LibreBaskerville-Regular" w:hAnsi="LibreBaskerville-Regular" w:cs="LibreBaskerville-Regular"/>
          <w:b/>
          <w:color w:val="616160"/>
        </w:rPr>
        <w:t>do</w:t>
      </w:r>
      <w:r w:rsidRPr="0056402A">
        <w:rPr>
          <w:rFonts w:ascii="LibreBaskerville-Regular" w:hAnsi="LibreBaskerville-Regular" w:cs="LibreBaskerville-Regular"/>
          <w:b/>
          <w:color w:val="616160"/>
        </w:rPr>
        <w:t xml:space="preserve">zione </w:t>
      </w:r>
      <w:r w:rsidR="0056402A">
        <w:rPr>
          <w:rFonts w:ascii="LibreBaskerville-Regular" w:hAnsi="LibreBaskerville-Regular" w:cs="LibreBaskerville-Regular"/>
          <w:b/>
          <w:color w:val="616160"/>
        </w:rPr>
        <w:t xml:space="preserve">delle misure necessarie ad assicurare la protezione effettiva dei cittadini residenti nei pressi </w:t>
      </w:r>
      <w:r w:rsidR="000B7C85">
        <w:rPr>
          <w:rFonts w:ascii="LibreBaskerville-Regular" w:hAnsi="LibreBaskerville-Regular" w:cs="LibreBaskerville-Regular"/>
          <w:b/>
          <w:color w:val="616160"/>
        </w:rPr>
        <w:t>dello stabilimento</w:t>
      </w:r>
      <w:r w:rsidR="0056402A">
        <w:rPr>
          <w:rFonts w:ascii="LibreBaskerville-Regular" w:hAnsi="LibreBaskerville-Regular" w:cs="LibreBaskerville-Regular"/>
          <w:b/>
          <w:color w:val="616160"/>
        </w:rPr>
        <w:t xml:space="preserve"> industriale “Fonderie Pisano”, </w:t>
      </w:r>
      <w:r w:rsidR="000B7C85">
        <w:rPr>
          <w:rFonts w:ascii="LibreBaskerville-Regular" w:hAnsi="LibreBaskerville-Regular" w:cs="LibreBaskerville-Regular"/>
          <w:b/>
          <w:color w:val="616160"/>
        </w:rPr>
        <w:t>situato n</w:t>
      </w:r>
      <w:r w:rsidR="0056402A">
        <w:rPr>
          <w:rFonts w:ascii="LibreBaskerville-Regular" w:hAnsi="LibreBaskerville-Regular" w:cs="LibreBaskerville-Regular"/>
          <w:b/>
          <w:color w:val="616160"/>
        </w:rPr>
        <w:t>ella Valle dell’Irno.</w:t>
      </w:r>
    </w:p>
    <w:p w14:paraId="2933EF5D" w14:textId="4C56C19A" w:rsidR="00A015B1" w:rsidRDefault="000B7C85" w:rsidP="007A5DFA">
      <w:pPr>
        <w:autoSpaceDE w:val="0"/>
        <w:autoSpaceDN w:val="0"/>
        <w:adjustRightInd w:val="0"/>
        <w:spacing w:after="120" w:line="360" w:lineRule="auto"/>
        <w:jc w:val="both"/>
        <w:rPr>
          <w:rFonts w:ascii="LibreBaskerville-Regular" w:hAnsi="LibreBaskerville-Regular" w:cs="LibreBaskerville-Regular"/>
          <w:bCs/>
          <w:color w:val="616160"/>
        </w:rPr>
      </w:pPr>
      <w:r>
        <w:rPr>
          <w:rFonts w:ascii="LibreBaskerville-Regular" w:hAnsi="LibreBaskerville-Regular" w:cs="LibreBaskerville-Regular"/>
          <w:bCs/>
          <w:color w:val="616160"/>
        </w:rPr>
        <w:t>Originariamente classificata come zona industriale nel</w:t>
      </w:r>
      <w:r w:rsidR="00A015B1">
        <w:rPr>
          <w:rFonts w:ascii="LibreBaskerville-Regular" w:hAnsi="LibreBaskerville-Regular" w:cs="LibreBaskerville-Regular"/>
          <w:bCs/>
          <w:color w:val="616160"/>
        </w:rPr>
        <w:t xml:space="preserve"> 1963, l’area </w:t>
      </w:r>
      <w:r>
        <w:rPr>
          <w:rFonts w:ascii="LibreBaskerville-Regular" w:hAnsi="LibreBaskerville-Regular" w:cs="LibreBaskerville-Regular"/>
          <w:bCs/>
          <w:color w:val="616160"/>
        </w:rPr>
        <w:t>è</w:t>
      </w:r>
      <w:r w:rsidR="00A015B1">
        <w:rPr>
          <w:rFonts w:ascii="LibreBaskerville-Regular" w:hAnsi="LibreBaskerville-Regular" w:cs="LibreBaskerville-Regular"/>
          <w:bCs/>
          <w:color w:val="616160"/>
        </w:rPr>
        <w:t xml:space="preserve"> stata </w:t>
      </w:r>
      <w:r>
        <w:rPr>
          <w:rFonts w:ascii="LibreBaskerville-Regular" w:hAnsi="LibreBaskerville-Regular" w:cs="LibreBaskerville-Regular"/>
          <w:bCs/>
          <w:color w:val="616160"/>
        </w:rPr>
        <w:t xml:space="preserve">successivamente </w:t>
      </w:r>
      <w:r w:rsidR="00A015B1">
        <w:rPr>
          <w:rFonts w:ascii="LibreBaskerville-Regular" w:hAnsi="LibreBaskerville-Regular" w:cs="LibreBaskerville-Regular"/>
          <w:bCs/>
          <w:color w:val="616160"/>
        </w:rPr>
        <w:t>destinata ad uso residenziale</w:t>
      </w:r>
      <w:r>
        <w:rPr>
          <w:rFonts w:ascii="LibreBaskerville-Regular" w:hAnsi="LibreBaskerville-Regular" w:cs="LibreBaskerville-Regular"/>
          <w:bCs/>
          <w:color w:val="616160"/>
        </w:rPr>
        <w:t xml:space="preserve"> nel 2006</w:t>
      </w:r>
      <w:r w:rsidR="00A015B1">
        <w:rPr>
          <w:rFonts w:ascii="LibreBaskerville-Regular" w:hAnsi="LibreBaskerville-Regular" w:cs="LibreBaskerville-Regular"/>
          <w:bCs/>
          <w:color w:val="616160"/>
        </w:rPr>
        <w:t xml:space="preserve">, </w:t>
      </w:r>
      <w:r>
        <w:rPr>
          <w:rFonts w:ascii="LibreBaskerville-Regular" w:hAnsi="LibreBaskerville-Regular" w:cs="LibreBaskerville-Regular"/>
          <w:bCs/>
          <w:color w:val="616160"/>
        </w:rPr>
        <w:t>subordinatamente alla delocalizzazione della fonderia, che tuttavia non è mai avvenuta.</w:t>
      </w:r>
      <w:r w:rsidR="00A015B1">
        <w:rPr>
          <w:rFonts w:ascii="LibreBaskerville-Regular" w:hAnsi="LibreBaskerville-Regular" w:cs="LibreBaskerville-Regular"/>
          <w:bCs/>
          <w:color w:val="616160"/>
        </w:rPr>
        <w:t xml:space="preserve"> </w:t>
      </w:r>
      <w:r>
        <w:rPr>
          <w:rFonts w:ascii="LibreBaskerville-Regular" w:hAnsi="LibreBaskerville-Regular" w:cs="LibreBaskerville-Regular"/>
          <w:bCs/>
          <w:color w:val="616160"/>
        </w:rPr>
        <w:t xml:space="preserve"> L’impianto ha continuato ad operare, nonostante il nuovo assetto urbanistico e le evidenze scientifiche che ne hanno confermato l’impatto nocivo sull’ambiente e sulla salute della popolazione. In particolare, lo </w:t>
      </w:r>
      <w:r w:rsidR="00B36BAB">
        <w:rPr>
          <w:rFonts w:ascii="LibreBaskerville-Regular" w:hAnsi="LibreBaskerville-Regular" w:cs="LibreBaskerville-Regular"/>
          <w:bCs/>
          <w:color w:val="616160"/>
        </w:rPr>
        <w:t>studio epidemiologico SPES</w:t>
      </w:r>
      <w:r>
        <w:rPr>
          <w:rFonts w:ascii="LibreBaskerville-Regular" w:hAnsi="LibreBaskerville-Regular" w:cs="LibreBaskerville-Regular"/>
          <w:bCs/>
          <w:color w:val="616160"/>
        </w:rPr>
        <w:t xml:space="preserve"> (‘</w:t>
      </w:r>
      <w:r w:rsidR="00B36BAB">
        <w:rPr>
          <w:rFonts w:ascii="LibreBaskerville-Regular" w:hAnsi="LibreBaskerville-Regular" w:cs="LibreBaskerville-Regular"/>
          <w:bCs/>
          <w:color w:val="616160"/>
        </w:rPr>
        <w:t>Studio di Esposizione nella Popolazione Suscettibile</w:t>
      </w:r>
      <w:r>
        <w:rPr>
          <w:rFonts w:ascii="LibreBaskerville-Regular" w:hAnsi="LibreBaskerville-Regular" w:cs="LibreBaskerville-Regular"/>
          <w:bCs/>
          <w:color w:val="616160"/>
        </w:rPr>
        <w:t>’</w:t>
      </w:r>
      <w:r w:rsidR="00B36BAB">
        <w:rPr>
          <w:rFonts w:ascii="LibreBaskerville-Regular" w:hAnsi="LibreBaskerville-Regular" w:cs="LibreBaskerville-Regular"/>
          <w:bCs/>
          <w:color w:val="616160"/>
        </w:rPr>
        <w:t xml:space="preserve">) e </w:t>
      </w:r>
      <w:r w:rsidR="00761F2A">
        <w:rPr>
          <w:rFonts w:ascii="LibreBaskerville-Regular" w:hAnsi="LibreBaskerville-Regular" w:cs="LibreBaskerville-Regular"/>
          <w:bCs/>
          <w:color w:val="616160"/>
        </w:rPr>
        <w:t xml:space="preserve">le </w:t>
      </w:r>
      <w:r w:rsidR="00B36BAB">
        <w:rPr>
          <w:rFonts w:ascii="LibreBaskerville-Regular" w:hAnsi="LibreBaskerville-Regular" w:cs="LibreBaskerville-Regular"/>
          <w:bCs/>
          <w:color w:val="616160"/>
        </w:rPr>
        <w:t>analisi condotte su</w:t>
      </w:r>
      <w:r>
        <w:rPr>
          <w:rFonts w:ascii="LibreBaskerville-Regular" w:hAnsi="LibreBaskerville-Regular" w:cs="LibreBaskerville-Regular"/>
          <w:bCs/>
          <w:color w:val="616160"/>
        </w:rPr>
        <w:t xml:space="preserve">i </w:t>
      </w:r>
      <w:r w:rsidR="00B36BAB">
        <w:rPr>
          <w:rFonts w:ascii="LibreBaskerville-Regular" w:hAnsi="LibreBaskerville-Regular" w:cs="LibreBaskerville-Regular"/>
          <w:bCs/>
          <w:color w:val="616160"/>
        </w:rPr>
        <w:t>resident</w:t>
      </w:r>
      <w:r>
        <w:rPr>
          <w:rFonts w:ascii="LibreBaskerville-Regular" w:hAnsi="LibreBaskerville-Regular" w:cs="LibreBaskerville-Regular"/>
          <w:bCs/>
          <w:color w:val="616160"/>
        </w:rPr>
        <w:t>i</w:t>
      </w:r>
      <w:r w:rsidR="00B36BAB">
        <w:rPr>
          <w:rFonts w:ascii="LibreBaskerville-Regular" w:hAnsi="LibreBaskerville-Regular" w:cs="LibreBaskerville-Regular"/>
          <w:bCs/>
          <w:color w:val="616160"/>
        </w:rPr>
        <w:t xml:space="preserve"> </w:t>
      </w:r>
      <w:r>
        <w:rPr>
          <w:rFonts w:ascii="LibreBaskerville-Regular" w:hAnsi="LibreBaskerville-Regular" w:cs="LibreBaskerville-Regular"/>
          <w:bCs/>
          <w:color w:val="616160"/>
        </w:rPr>
        <w:t>hanno rilevato</w:t>
      </w:r>
      <w:r w:rsidR="00B36BAB">
        <w:rPr>
          <w:rFonts w:ascii="LibreBaskerville-Regular" w:hAnsi="LibreBaskerville-Regular" w:cs="LibreBaskerville-Regular"/>
          <w:bCs/>
          <w:color w:val="616160"/>
        </w:rPr>
        <w:t xml:space="preserve"> </w:t>
      </w:r>
      <w:r>
        <w:rPr>
          <w:rFonts w:ascii="LibreBaskerville-Regular" w:hAnsi="LibreBaskerville-Regular" w:cs="LibreBaskerville-Regular"/>
          <w:bCs/>
          <w:color w:val="616160"/>
        </w:rPr>
        <w:t>concentrazioni</w:t>
      </w:r>
      <w:r w:rsidR="00A015B1">
        <w:rPr>
          <w:rFonts w:ascii="LibreBaskerville-Regular" w:hAnsi="LibreBaskerville-Regular" w:cs="LibreBaskerville-Regular"/>
          <w:bCs/>
          <w:color w:val="616160"/>
        </w:rPr>
        <w:t xml:space="preserve"> di metalli pesanti notevolmente superiori alla </w:t>
      </w:r>
      <w:r>
        <w:rPr>
          <w:rFonts w:ascii="LibreBaskerville-Regular" w:hAnsi="LibreBaskerville-Regular" w:cs="LibreBaskerville-Regular"/>
          <w:bCs/>
          <w:color w:val="616160"/>
        </w:rPr>
        <w:t>media</w:t>
      </w:r>
      <w:r w:rsidR="00B36BAB">
        <w:rPr>
          <w:rFonts w:ascii="LibreBaskerville-Regular" w:hAnsi="LibreBaskerville-Regular" w:cs="LibreBaskerville-Regular"/>
          <w:bCs/>
          <w:color w:val="616160"/>
        </w:rPr>
        <w:t xml:space="preserve"> e</w:t>
      </w:r>
      <w:r>
        <w:rPr>
          <w:rFonts w:ascii="LibreBaskerville-Regular" w:hAnsi="LibreBaskerville-Regular" w:cs="LibreBaskerville-Regular"/>
          <w:bCs/>
          <w:color w:val="616160"/>
        </w:rPr>
        <w:t xml:space="preserve"> hanno</w:t>
      </w:r>
      <w:r w:rsidR="00B36BAB">
        <w:rPr>
          <w:rFonts w:ascii="LibreBaskerville-Regular" w:hAnsi="LibreBaskerville-Regular" w:cs="LibreBaskerville-Regular"/>
          <w:bCs/>
          <w:color w:val="616160"/>
        </w:rPr>
        <w:t xml:space="preserve"> dimostrato </w:t>
      </w:r>
      <w:r>
        <w:rPr>
          <w:rFonts w:ascii="LibreBaskerville-Regular" w:hAnsi="LibreBaskerville-Regular" w:cs="LibreBaskerville-Regular"/>
          <w:bCs/>
          <w:color w:val="616160"/>
        </w:rPr>
        <w:t>la riconducibilità de</w:t>
      </w:r>
      <w:r w:rsidR="00B36BAB">
        <w:rPr>
          <w:rFonts w:ascii="LibreBaskerville-Regular" w:hAnsi="LibreBaskerville-Regular" w:cs="LibreBaskerville-Regular"/>
          <w:bCs/>
          <w:color w:val="616160"/>
        </w:rPr>
        <w:t xml:space="preserve">gli effetti </w:t>
      </w:r>
      <w:r w:rsidR="0088769B">
        <w:rPr>
          <w:rFonts w:ascii="LibreBaskerville-Regular" w:hAnsi="LibreBaskerville-Regular" w:cs="LibreBaskerville-Regular"/>
          <w:bCs/>
          <w:color w:val="616160"/>
        </w:rPr>
        <w:t>del</w:t>
      </w:r>
      <w:r w:rsidR="00B36BAB">
        <w:rPr>
          <w:rFonts w:ascii="LibreBaskerville-Regular" w:hAnsi="LibreBaskerville-Regular" w:cs="LibreBaskerville-Regular"/>
          <w:bCs/>
          <w:color w:val="616160"/>
        </w:rPr>
        <w:t xml:space="preserve">l’inquinamento </w:t>
      </w:r>
      <w:r w:rsidR="00F1281E">
        <w:rPr>
          <w:rFonts w:ascii="LibreBaskerville-Regular" w:hAnsi="LibreBaskerville-Regular" w:cs="LibreBaskerville-Regular"/>
          <w:bCs/>
          <w:color w:val="616160"/>
        </w:rPr>
        <w:t>sulla popolazione</w:t>
      </w:r>
      <w:r w:rsidR="00B36BAB">
        <w:rPr>
          <w:rFonts w:ascii="LibreBaskerville-Regular" w:hAnsi="LibreBaskerville-Regular" w:cs="LibreBaskerville-Regular"/>
          <w:bCs/>
          <w:color w:val="616160"/>
        </w:rPr>
        <w:t xml:space="preserve"> </w:t>
      </w:r>
      <w:r w:rsidR="005C22EE">
        <w:rPr>
          <w:rFonts w:ascii="LibreBaskerville-Regular" w:hAnsi="LibreBaskerville-Regular" w:cs="LibreBaskerville-Regular"/>
          <w:bCs/>
          <w:color w:val="616160"/>
        </w:rPr>
        <w:t>a</w:t>
      </w:r>
      <w:r w:rsidR="00B36BAB">
        <w:rPr>
          <w:rFonts w:ascii="LibreBaskerville-Regular" w:hAnsi="LibreBaskerville-Regular" w:cs="LibreBaskerville-Regular"/>
          <w:bCs/>
          <w:color w:val="616160"/>
        </w:rPr>
        <w:t>ll</w:t>
      </w:r>
      <w:r w:rsidR="005C22EE">
        <w:rPr>
          <w:rFonts w:ascii="LibreBaskerville-Regular" w:hAnsi="LibreBaskerville-Regular" w:cs="LibreBaskerville-Regular"/>
          <w:bCs/>
          <w:color w:val="616160"/>
        </w:rPr>
        <w:t>’</w:t>
      </w:r>
      <w:r w:rsidR="00B36BAB">
        <w:rPr>
          <w:rFonts w:ascii="LibreBaskerville-Regular" w:hAnsi="LibreBaskerville-Regular" w:cs="LibreBaskerville-Regular"/>
          <w:bCs/>
          <w:color w:val="616160"/>
        </w:rPr>
        <w:t>a</w:t>
      </w:r>
      <w:r w:rsidR="005C22EE">
        <w:rPr>
          <w:rFonts w:ascii="LibreBaskerville-Regular" w:hAnsi="LibreBaskerville-Regular" w:cs="LibreBaskerville-Regular"/>
          <w:bCs/>
          <w:color w:val="616160"/>
        </w:rPr>
        <w:t>ttività della</w:t>
      </w:r>
      <w:r w:rsidR="00B36BAB">
        <w:rPr>
          <w:rFonts w:ascii="LibreBaskerville-Regular" w:hAnsi="LibreBaskerville-Regular" w:cs="LibreBaskerville-Regular"/>
          <w:bCs/>
          <w:color w:val="616160"/>
        </w:rPr>
        <w:t xml:space="preserve"> fonderia</w:t>
      </w:r>
      <w:r w:rsidR="00F1281E">
        <w:rPr>
          <w:rFonts w:ascii="LibreBaskerville-Regular" w:hAnsi="LibreBaskerville-Regular" w:cs="LibreBaskerville-Regular"/>
          <w:bCs/>
          <w:color w:val="616160"/>
        </w:rPr>
        <w:t xml:space="preserve"> (§ 121, § 166)</w:t>
      </w:r>
      <w:r w:rsidR="00B36BAB">
        <w:rPr>
          <w:rFonts w:ascii="LibreBaskerville-Regular" w:hAnsi="LibreBaskerville-Regular" w:cs="LibreBaskerville-Regular"/>
          <w:bCs/>
          <w:color w:val="616160"/>
        </w:rPr>
        <w:t xml:space="preserve">. </w:t>
      </w:r>
    </w:p>
    <w:p w14:paraId="6BB534C7" w14:textId="66D126F6" w:rsidR="00F36A4A" w:rsidRDefault="00F36A4A" w:rsidP="007A5DFA">
      <w:pPr>
        <w:autoSpaceDE w:val="0"/>
        <w:autoSpaceDN w:val="0"/>
        <w:adjustRightInd w:val="0"/>
        <w:spacing w:after="120" w:line="360" w:lineRule="auto"/>
        <w:jc w:val="both"/>
        <w:rPr>
          <w:rFonts w:ascii="LibreBaskerville-Regular" w:hAnsi="LibreBaskerville-Regular" w:cs="LibreBaskerville-Regular"/>
          <w:bCs/>
          <w:color w:val="616160"/>
        </w:rPr>
      </w:pPr>
      <w:r>
        <w:rPr>
          <w:rFonts w:ascii="LibreBaskerville-Regular" w:hAnsi="LibreBaskerville-Regular" w:cs="LibreBaskerville-Regular"/>
          <w:bCs/>
          <w:color w:val="616160"/>
        </w:rPr>
        <w:t xml:space="preserve">La Corte ha </w:t>
      </w:r>
      <w:r w:rsidR="000F37FF">
        <w:rPr>
          <w:rFonts w:ascii="LibreBaskerville-Regular" w:hAnsi="LibreBaskerville-Regular" w:cs="LibreBaskerville-Regular"/>
          <w:bCs/>
          <w:color w:val="616160"/>
        </w:rPr>
        <w:t>rilevato</w:t>
      </w:r>
      <w:r>
        <w:rPr>
          <w:rFonts w:ascii="LibreBaskerville-Regular" w:hAnsi="LibreBaskerville-Regular" w:cs="LibreBaskerville-Regular"/>
          <w:bCs/>
          <w:color w:val="616160"/>
        </w:rPr>
        <w:t xml:space="preserve"> che </w:t>
      </w:r>
      <w:r w:rsidR="000F37FF">
        <w:rPr>
          <w:rFonts w:ascii="LibreBaskerville-Regular" w:hAnsi="LibreBaskerville-Regular" w:cs="LibreBaskerville-Regular"/>
          <w:bCs/>
          <w:color w:val="616160"/>
        </w:rPr>
        <w:t>tra</w:t>
      </w:r>
      <w:r>
        <w:rPr>
          <w:rFonts w:ascii="LibreBaskerville-Regular" w:hAnsi="LibreBaskerville-Regular" w:cs="LibreBaskerville-Regular"/>
          <w:bCs/>
          <w:color w:val="616160"/>
        </w:rPr>
        <w:t xml:space="preserve"> </w:t>
      </w:r>
      <w:r w:rsidR="00F1281E">
        <w:rPr>
          <w:rFonts w:ascii="LibreBaskerville-Regular" w:hAnsi="LibreBaskerville-Regular" w:cs="LibreBaskerville-Regular"/>
          <w:bCs/>
          <w:color w:val="616160"/>
        </w:rPr>
        <w:t xml:space="preserve">il </w:t>
      </w:r>
      <w:r>
        <w:rPr>
          <w:rFonts w:ascii="LibreBaskerville-Regular" w:hAnsi="LibreBaskerville-Regular" w:cs="LibreBaskerville-Regular"/>
          <w:bCs/>
          <w:color w:val="616160"/>
        </w:rPr>
        <w:t xml:space="preserve">2008 </w:t>
      </w:r>
      <w:r w:rsidR="000F37FF">
        <w:rPr>
          <w:rFonts w:ascii="LibreBaskerville-Regular" w:hAnsi="LibreBaskerville-Regular" w:cs="LibreBaskerville-Regular"/>
          <w:bCs/>
          <w:color w:val="616160"/>
        </w:rPr>
        <w:t>e i</w:t>
      </w:r>
      <w:r>
        <w:rPr>
          <w:rFonts w:ascii="LibreBaskerville-Regular" w:hAnsi="LibreBaskerville-Regular" w:cs="LibreBaskerville-Regular"/>
          <w:bCs/>
          <w:color w:val="616160"/>
        </w:rPr>
        <w:t xml:space="preserve">l 2016 </w:t>
      </w:r>
      <w:r w:rsidR="000F37FF">
        <w:rPr>
          <w:rFonts w:ascii="LibreBaskerville-Regular" w:hAnsi="LibreBaskerville-Regular" w:cs="LibreBaskerville-Regular"/>
          <w:bCs/>
          <w:color w:val="616160"/>
        </w:rPr>
        <w:t>lo stabilimento ha prodotto</w:t>
      </w:r>
      <w:r>
        <w:rPr>
          <w:rFonts w:ascii="LibreBaskerville-Regular" w:hAnsi="LibreBaskerville-Regular" w:cs="LibreBaskerville-Regular"/>
          <w:bCs/>
          <w:color w:val="616160"/>
        </w:rPr>
        <w:t xml:space="preserve"> gravi forme di inquinamento, senza che </w:t>
      </w:r>
      <w:r w:rsidR="00CA1F43">
        <w:rPr>
          <w:rFonts w:ascii="LibreBaskerville-Regular" w:hAnsi="LibreBaskerville-Regular" w:cs="LibreBaskerville-Regular"/>
          <w:bCs/>
          <w:color w:val="616160"/>
        </w:rPr>
        <w:t xml:space="preserve">la popolazione interessata </w:t>
      </w:r>
      <w:r w:rsidR="00F1281E">
        <w:rPr>
          <w:rFonts w:ascii="LibreBaskerville-Regular" w:hAnsi="LibreBaskerville-Regular" w:cs="LibreBaskerville-Regular"/>
          <w:bCs/>
          <w:color w:val="616160"/>
        </w:rPr>
        <w:t>sia</w:t>
      </w:r>
      <w:r w:rsidR="00CA1F43">
        <w:rPr>
          <w:rFonts w:ascii="LibreBaskerville-Regular" w:hAnsi="LibreBaskerville-Regular" w:cs="LibreBaskerville-Regular"/>
          <w:bCs/>
          <w:color w:val="616160"/>
        </w:rPr>
        <w:t xml:space="preserve"> </w:t>
      </w:r>
      <w:r w:rsidR="00F1281E">
        <w:rPr>
          <w:rFonts w:ascii="LibreBaskerville-Regular" w:hAnsi="LibreBaskerville-Regular" w:cs="LibreBaskerville-Regular"/>
          <w:bCs/>
          <w:color w:val="616160"/>
        </w:rPr>
        <w:t xml:space="preserve">stata </w:t>
      </w:r>
      <w:r w:rsidR="00CA1F43">
        <w:rPr>
          <w:rFonts w:ascii="LibreBaskerville-Regular" w:hAnsi="LibreBaskerville-Regular" w:cs="LibreBaskerville-Regular"/>
          <w:bCs/>
          <w:color w:val="616160"/>
        </w:rPr>
        <w:t>adeguatamente informata dei rischi connessi alla permanenza in quell’area</w:t>
      </w:r>
      <w:r w:rsidR="00761F2A">
        <w:rPr>
          <w:rFonts w:ascii="LibreBaskerville-Regular" w:hAnsi="LibreBaskerville-Regular" w:cs="LibreBaskerville-Regular"/>
          <w:bCs/>
          <w:color w:val="616160"/>
        </w:rPr>
        <w:t xml:space="preserve"> (§ 161)</w:t>
      </w:r>
      <w:r w:rsidR="00CA1F43">
        <w:rPr>
          <w:rFonts w:ascii="LibreBaskerville-Regular" w:hAnsi="LibreBaskerville-Regular" w:cs="LibreBaskerville-Regular"/>
          <w:bCs/>
          <w:color w:val="616160"/>
        </w:rPr>
        <w:t>.</w:t>
      </w:r>
      <w:r>
        <w:rPr>
          <w:rFonts w:ascii="LibreBaskerville-Regular" w:hAnsi="LibreBaskerville-Regular" w:cs="LibreBaskerville-Regular"/>
          <w:bCs/>
          <w:color w:val="616160"/>
        </w:rPr>
        <w:t xml:space="preserve"> Inoltre, </w:t>
      </w:r>
      <w:r w:rsidR="00CA1F43">
        <w:rPr>
          <w:rFonts w:ascii="LibreBaskerville-Regular" w:hAnsi="LibreBaskerville-Regular" w:cs="LibreBaskerville-Regular"/>
          <w:bCs/>
          <w:color w:val="616160"/>
        </w:rPr>
        <w:t>ha osservato che, nonostante l</w:t>
      </w:r>
      <w:r w:rsidR="00F1281E">
        <w:rPr>
          <w:rFonts w:ascii="LibreBaskerville-Regular" w:hAnsi="LibreBaskerville-Regular" w:cs="LibreBaskerville-Regular"/>
          <w:bCs/>
          <w:color w:val="616160"/>
        </w:rPr>
        <w:t xml:space="preserve">a classificazione </w:t>
      </w:r>
      <w:r w:rsidR="00CA1F43">
        <w:rPr>
          <w:rFonts w:ascii="LibreBaskerville-Regular" w:hAnsi="LibreBaskerville-Regular" w:cs="LibreBaskerville-Regular"/>
          <w:bCs/>
          <w:color w:val="616160"/>
        </w:rPr>
        <w:t xml:space="preserve">dell’area </w:t>
      </w:r>
      <w:r w:rsidR="00F1281E">
        <w:rPr>
          <w:rFonts w:ascii="LibreBaskerville-Regular" w:hAnsi="LibreBaskerville-Regular" w:cs="LibreBaskerville-Regular"/>
          <w:bCs/>
          <w:color w:val="616160"/>
        </w:rPr>
        <w:t xml:space="preserve">come </w:t>
      </w:r>
      <w:r w:rsidR="00761F2A">
        <w:rPr>
          <w:rFonts w:ascii="LibreBaskerville-Regular" w:hAnsi="LibreBaskerville-Regular" w:cs="LibreBaskerville-Regular"/>
          <w:bCs/>
          <w:color w:val="616160"/>
        </w:rPr>
        <w:t>urban</w:t>
      </w:r>
      <w:r w:rsidR="00F1281E">
        <w:rPr>
          <w:rFonts w:ascii="LibreBaskerville-Regular" w:hAnsi="LibreBaskerville-Regular" w:cs="LibreBaskerville-Regular"/>
          <w:bCs/>
          <w:color w:val="616160"/>
        </w:rPr>
        <w:t>a</w:t>
      </w:r>
      <w:r w:rsidR="00CA1F43">
        <w:rPr>
          <w:rFonts w:ascii="LibreBaskerville-Regular" w:hAnsi="LibreBaskerville-Regular" w:cs="LibreBaskerville-Regular"/>
          <w:bCs/>
          <w:color w:val="616160"/>
        </w:rPr>
        <w:t xml:space="preserve">, tra il 2008 e il 2016 le autorità italiane non hanno </w:t>
      </w:r>
      <w:r w:rsidR="00F1281E">
        <w:rPr>
          <w:rFonts w:ascii="LibreBaskerville-Regular" w:hAnsi="LibreBaskerville-Regular" w:cs="LibreBaskerville-Regular"/>
          <w:bCs/>
          <w:color w:val="616160"/>
        </w:rPr>
        <w:t>adottato</w:t>
      </w:r>
      <w:r w:rsidR="00CA1F43">
        <w:rPr>
          <w:rFonts w:ascii="LibreBaskerville-Regular" w:hAnsi="LibreBaskerville-Regular" w:cs="LibreBaskerville-Regular"/>
          <w:bCs/>
          <w:color w:val="616160"/>
        </w:rPr>
        <w:t xml:space="preserve"> misure efficaci per tutelare il diritto dei ricorrenti al rispetto della vita privata </w:t>
      </w:r>
      <w:r>
        <w:rPr>
          <w:rFonts w:ascii="LibreBaskerville-Regular" w:hAnsi="LibreBaskerville-Regular" w:cs="LibreBaskerville-Regular"/>
          <w:bCs/>
          <w:color w:val="616160"/>
        </w:rPr>
        <w:t>(§ 162). Con riguardo al periodo successivo</w:t>
      </w:r>
      <w:r w:rsidR="00761F2A">
        <w:rPr>
          <w:rFonts w:ascii="LibreBaskerville-Regular" w:hAnsi="LibreBaskerville-Regular" w:cs="LibreBaskerville-Regular"/>
          <w:bCs/>
          <w:color w:val="616160"/>
        </w:rPr>
        <w:t xml:space="preserve"> al 2016</w:t>
      </w:r>
      <w:r w:rsidR="00CA1F43">
        <w:rPr>
          <w:rFonts w:ascii="LibreBaskerville-Regular" w:hAnsi="LibreBaskerville-Regular" w:cs="LibreBaskerville-Regular"/>
          <w:bCs/>
          <w:color w:val="616160"/>
        </w:rPr>
        <w:t xml:space="preserve">, </w:t>
      </w:r>
      <w:r w:rsidR="00761F2A">
        <w:rPr>
          <w:rFonts w:ascii="LibreBaskerville-Regular" w:hAnsi="LibreBaskerville-Regular" w:cs="LibreBaskerville-Regular"/>
          <w:bCs/>
          <w:color w:val="616160"/>
        </w:rPr>
        <w:t xml:space="preserve">la Corte ha ritenuto che </w:t>
      </w:r>
      <w:r w:rsidR="00CA1F43">
        <w:rPr>
          <w:rFonts w:ascii="LibreBaskerville-Regular" w:hAnsi="LibreBaskerville-Regular" w:cs="LibreBaskerville-Regular"/>
          <w:bCs/>
          <w:color w:val="616160"/>
        </w:rPr>
        <w:t xml:space="preserve">gli sforzi </w:t>
      </w:r>
      <w:r w:rsidR="00761F2A">
        <w:rPr>
          <w:rFonts w:ascii="LibreBaskerville-Regular" w:hAnsi="LibreBaskerville-Regular" w:cs="LibreBaskerville-Regular"/>
          <w:bCs/>
          <w:color w:val="616160"/>
        </w:rPr>
        <w:t xml:space="preserve">compiuti </w:t>
      </w:r>
      <w:r w:rsidR="00CA1F43">
        <w:rPr>
          <w:rFonts w:ascii="LibreBaskerville-Regular" w:hAnsi="LibreBaskerville-Regular" w:cs="LibreBaskerville-Regular"/>
          <w:bCs/>
          <w:color w:val="616160"/>
        </w:rPr>
        <w:t>per</w:t>
      </w:r>
      <w:r w:rsidR="00DA6204">
        <w:rPr>
          <w:rFonts w:ascii="LibreBaskerville-Regular" w:hAnsi="LibreBaskerville-Regular" w:cs="LibreBaskerville-Regular"/>
          <w:bCs/>
          <w:color w:val="616160"/>
        </w:rPr>
        <w:t xml:space="preserve"> ridurre </w:t>
      </w:r>
      <w:r w:rsidR="00CA1F43">
        <w:rPr>
          <w:rFonts w:ascii="LibreBaskerville-Regular" w:hAnsi="LibreBaskerville-Regular" w:cs="LibreBaskerville-Regular"/>
          <w:bCs/>
          <w:color w:val="616160"/>
        </w:rPr>
        <w:t>l’impatto ambientale dell</w:t>
      </w:r>
      <w:r w:rsidR="00F1281E">
        <w:rPr>
          <w:rFonts w:ascii="LibreBaskerville-Regular" w:hAnsi="LibreBaskerville-Regular" w:cs="LibreBaskerville-Regular"/>
          <w:bCs/>
          <w:color w:val="616160"/>
        </w:rPr>
        <w:t>a</w:t>
      </w:r>
      <w:r w:rsidR="00761F2A">
        <w:rPr>
          <w:rFonts w:ascii="LibreBaskerville-Regular" w:hAnsi="LibreBaskerville-Regular" w:cs="LibreBaskerville-Regular"/>
          <w:bCs/>
          <w:color w:val="616160"/>
        </w:rPr>
        <w:t xml:space="preserve"> fonderi</w:t>
      </w:r>
      <w:r w:rsidR="00F1281E">
        <w:rPr>
          <w:rFonts w:ascii="LibreBaskerville-Regular" w:hAnsi="LibreBaskerville-Regular" w:cs="LibreBaskerville-Regular"/>
          <w:bCs/>
          <w:color w:val="616160"/>
        </w:rPr>
        <w:t>a</w:t>
      </w:r>
      <w:r w:rsidR="00761F2A">
        <w:rPr>
          <w:rFonts w:ascii="LibreBaskerville-Regular" w:hAnsi="LibreBaskerville-Regular" w:cs="LibreBaskerville-Regular"/>
          <w:bCs/>
          <w:color w:val="616160"/>
        </w:rPr>
        <w:t xml:space="preserve"> siano stati insufficienti</w:t>
      </w:r>
      <w:r w:rsidR="00CA1F43">
        <w:rPr>
          <w:rFonts w:ascii="LibreBaskerville-Regular" w:hAnsi="LibreBaskerville-Regular" w:cs="LibreBaskerville-Regular"/>
          <w:bCs/>
          <w:color w:val="616160"/>
        </w:rPr>
        <w:t xml:space="preserve"> a compensare l’esposizione prolungata subita dalla popolazione locale </w:t>
      </w:r>
      <w:r w:rsidR="00DA6204">
        <w:rPr>
          <w:rFonts w:ascii="LibreBaskerville-Regular" w:hAnsi="LibreBaskerville-Regular" w:cs="LibreBaskerville-Regular"/>
          <w:bCs/>
          <w:color w:val="616160"/>
        </w:rPr>
        <w:t xml:space="preserve">(§ 165). </w:t>
      </w:r>
      <w:r w:rsidR="00761F2A">
        <w:rPr>
          <w:rFonts w:ascii="LibreBaskerville-Regular" w:hAnsi="LibreBaskerville-Regular" w:cs="LibreBaskerville-Regular"/>
          <w:bCs/>
          <w:color w:val="616160"/>
        </w:rPr>
        <w:t>H</w:t>
      </w:r>
      <w:r w:rsidR="00CA1F43" w:rsidRPr="00CA1F43">
        <w:rPr>
          <w:rFonts w:ascii="LibreBaskerville-Regular" w:hAnsi="LibreBaskerville-Regular" w:cs="LibreBaskerville-Regular"/>
          <w:bCs/>
          <w:color w:val="616160"/>
        </w:rPr>
        <w:t xml:space="preserve">a pertanto </w:t>
      </w:r>
      <w:r w:rsidR="00F1281E">
        <w:rPr>
          <w:rFonts w:ascii="LibreBaskerville-Regular" w:hAnsi="LibreBaskerville-Regular" w:cs="LibreBaskerville-Regular"/>
          <w:bCs/>
          <w:color w:val="616160"/>
        </w:rPr>
        <w:t>concluso</w:t>
      </w:r>
      <w:r w:rsidR="00CA1F43" w:rsidRPr="00CA1F43">
        <w:rPr>
          <w:rFonts w:ascii="LibreBaskerville-Regular" w:hAnsi="LibreBaskerville-Regular" w:cs="LibreBaskerville-Regular"/>
          <w:bCs/>
          <w:color w:val="616160"/>
        </w:rPr>
        <w:t xml:space="preserve"> che </w:t>
      </w:r>
      <w:r w:rsidR="00761F2A">
        <w:rPr>
          <w:rFonts w:ascii="LibreBaskerville-Regular" w:hAnsi="LibreBaskerville-Regular" w:cs="LibreBaskerville-Regular"/>
          <w:bCs/>
          <w:color w:val="616160"/>
        </w:rPr>
        <w:t xml:space="preserve">le autorità italiane </w:t>
      </w:r>
      <w:r w:rsidR="00F1281E">
        <w:rPr>
          <w:rFonts w:ascii="LibreBaskerville-Regular" w:hAnsi="LibreBaskerville-Regular" w:cs="LibreBaskerville-Regular"/>
          <w:bCs/>
          <w:color w:val="616160"/>
        </w:rPr>
        <w:t xml:space="preserve">hanno </w:t>
      </w:r>
      <w:r w:rsidR="00761F2A">
        <w:rPr>
          <w:rFonts w:ascii="LibreBaskerville-Regular" w:hAnsi="LibreBaskerville-Regular" w:cs="LibreBaskerville-Regular"/>
          <w:bCs/>
          <w:color w:val="616160"/>
        </w:rPr>
        <w:t xml:space="preserve">mancato di operare </w:t>
      </w:r>
      <w:r w:rsidR="00CA1F43" w:rsidRPr="00CA1F43">
        <w:rPr>
          <w:rFonts w:ascii="LibreBaskerville-Regular" w:hAnsi="LibreBaskerville-Regular" w:cs="LibreBaskerville-Regular"/>
          <w:bCs/>
          <w:color w:val="616160"/>
        </w:rPr>
        <w:t>un adeguato bilanciamento tra gli interessi in gioco, configurando una violazione degli obblighi positivi derivanti dall’art. 8 CEDU (§§ 170-171).</w:t>
      </w:r>
    </w:p>
    <w:p w14:paraId="24C2B758" w14:textId="2FC7E4C8" w:rsidR="00CA1F43" w:rsidRDefault="00CA1F43" w:rsidP="0088213B">
      <w:pPr>
        <w:autoSpaceDE w:val="0"/>
        <w:autoSpaceDN w:val="0"/>
        <w:adjustRightInd w:val="0"/>
        <w:spacing w:after="120" w:line="360" w:lineRule="auto"/>
        <w:jc w:val="both"/>
        <w:rPr>
          <w:rFonts w:ascii="LibreBaskerville-Regular" w:hAnsi="LibreBaskerville-Regular" w:cs="LibreBaskerville-Regular"/>
          <w:color w:val="616160"/>
        </w:rPr>
      </w:pPr>
      <w:r w:rsidRPr="00CA1F43">
        <w:rPr>
          <w:rFonts w:ascii="LibreBaskerville-Regular" w:hAnsi="LibreBaskerville-Regular" w:cs="LibreBaskerville-Regular"/>
          <w:color w:val="616160"/>
        </w:rPr>
        <w:t xml:space="preserve">La Corte ha quindi imposto allo Stato italiano l’obbligo di adottare misure generali volte a ripristinare, per quanto possibile, la situazione </w:t>
      </w:r>
      <w:r w:rsidR="003F3E31">
        <w:rPr>
          <w:rFonts w:ascii="LibreBaskerville-Regular" w:hAnsi="LibreBaskerville-Regular" w:cs="LibreBaskerville-Regular"/>
          <w:color w:val="616160"/>
        </w:rPr>
        <w:t xml:space="preserve">in cui </w:t>
      </w:r>
      <w:r w:rsidRPr="00CA1F43">
        <w:rPr>
          <w:rFonts w:ascii="LibreBaskerville-Regular" w:hAnsi="LibreBaskerville-Regular" w:cs="LibreBaskerville-Regular"/>
          <w:color w:val="616160"/>
        </w:rPr>
        <w:t>i ricorrenti</w:t>
      </w:r>
      <w:r w:rsidR="003F3E31">
        <w:rPr>
          <w:rFonts w:ascii="LibreBaskerville-Regular" w:hAnsi="LibreBaskerville-Regular" w:cs="LibreBaskerville-Regular"/>
          <w:color w:val="616160"/>
        </w:rPr>
        <w:t xml:space="preserve"> si sarebbero trovati </w:t>
      </w:r>
      <w:r w:rsidRPr="00CA1F43">
        <w:rPr>
          <w:rFonts w:ascii="LibreBaskerville-Regular" w:hAnsi="LibreBaskerville-Regular" w:cs="LibreBaskerville-Regular"/>
          <w:color w:val="616160"/>
        </w:rPr>
        <w:t xml:space="preserve">se la violazione non si fosse verificata (§ 182), suggerendo, tra le possibili </w:t>
      </w:r>
      <w:r w:rsidR="00F1281E">
        <w:rPr>
          <w:rFonts w:ascii="LibreBaskerville-Regular" w:hAnsi="LibreBaskerville-Regular" w:cs="LibreBaskerville-Regular"/>
          <w:color w:val="616160"/>
        </w:rPr>
        <w:t>misure</w:t>
      </w:r>
      <w:r w:rsidRPr="00CA1F43">
        <w:rPr>
          <w:rFonts w:ascii="LibreBaskerville-Regular" w:hAnsi="LibreBaskerville-Regular" w:cs="LibreBaskerville-Regular"/>
          <w:color w:val="616160"/>
        </w:rPr>
        <w:t xml:space="preserve">, non solo un’efficace gestione dei rischi ambientali legati all’attività della fonderia, ma anche la sua delocalizzazione, come già previsto </w:t>
      </w:r>
      <w:r w:rsidR="003F3E31">
        <w:rPr>
          <w:rFonts w:ascii="LibreBaskerville-Regular" w:hAnsi="LibreBaskerville-Regular" w:cs="LibreBaskerville-Regular"/>
          <w:color w:val="616160"/>
        </w:rPr>
        <w:t>da</w:t>
      </w:r>
      <w:r w:rsidRPr="00CA1F43">
        <w:rPr>
          <w:rFonts w:ascii="LibreBaskerville-Regular" w:hAnsi="LibreBaskerville-Regular" w:cs="LibreBaskerville-Regular"/>
          <w:color w:val="616160"/>
        </w:rPr>
        <w:t>l piano urbanistico comunale del 2006 (§ 183).</w:t>
      </w:r>
    </w:p>
    <w:p w14:paraId="11547AA2" w14:textId="223F74ED" w:rsidR="00A17DFE" w:rsidRDefault="00852BFC" w:rsidP="00A17DFE">
      <w:pPr>
        <w:autoSpaceDE w:val="0"/>
        <w:autoSpaceDN w:val="0"/>
        <w:adjustRightInd w:val="0"/>
        <w:spacing w:after="120" w:line="360" w:lineRule="auto"/>
        <w:jc w:val="both"/>
        <w:rPr>
          <w:rFonts w:ascii="LibreBaskerville-Regular" w:hAnsi="LibreBaskerville-Regular" w:cs="LibreBaskerville-Regular"/>
          <w:color w:val="616160"/>
        </w:rPr>
      </w:pPr>
      <w:r>
        <w:rPr>
          <w:rFonts w:ascii="LibreBaskerville-Regular" w:hAnsi="LibreBaskerville-Regular" w:cs="LibreBaskerville-Regular"/>
          <w:color w:val="616160"/>
        </w:rPr>
        <w:t xml:space="preserve">Gli </w:t>
      </w:r>
      <w:r w:rsidR="00D97EE0">
        <w:rPr>
          <w:rFonts w:ascii="LibreBaskerville-Regular" w:hAnsi="LibreBaskerville-Regular" w:cs="LibreBaskerville-Regular"/>
          <w:color w:val="616160"/>
        </w:rPr>
        <w:t>a</w:t>
      </w:r>
      <w:r>
        <w:rPr>
          <w:rFonts w:ascii="LibreBaskerville-Regular" w:hAnsi="LibreBaskerville-Regular" w:cs="LibreBaskerville-Regular"/>
          <w:color w:val="616160"/>
        </w:rPr>
        <w:t>vvocati Andrea Saccucci e Roberta Greco</w:t>
      </w:r>
      <w:r w:rsidR="00D97EE0">
        <w:rPr>
          <w:rFonts w:ascii="LibreBaskerville-Regular" w:hAnsi="LibreBaskerville-Regular" w:cs="LibreBaskerville-Regular"/>
          <w:color w:val="616160"/>
        </w:rPr>
        <w:t xml:space="preserve">, </w:t>
      </w:r>
      <w:r w:rsidR="00D97EE0" w:rsidRPr="00D97EE0">
        <w:rPr>
          <w:rFonts w:ascii="LibreBaskerville-Regular" w:hAnsi="LibreBaskerville-Regular" w:cs="LibreBaskerville-Regular"/>
          <w:color w:val="616160"/>
        </w:rPr>
        <w:t>che hanno assistito i ricorrenti</w:t>
      </w:r>
      <w:r w:rsidR="00D97EE0">
        <w:rPr>
          <w:rFonts w:ascii="LibreBaskerville-Regular" w:hAnsi="LibreBaskerville-Regular" w:cs="LibreBaskerville-Regular"/>
          <w:color w:val="616160"/>
        </w:rPr>
        <w:t>,</w:t>
      </w:r>
      <w:r>
        <w:rPr>
          <w:rFonts w:ascii="LibreBaskerville-Regular" w:hAnsi="LibreBaskerville-Regular" w:cs="LibreBaskerville-Regular"/>
          <w:color w:val="616160"/>
        </w:rPr>
        <w:t xml:space="preserve"> </w:t>
      </w:r>
      <w:r w:rsidR="004B339A">
        <w:rPr>
          <w:rFonts w:ascii="LibreBaskerville-Regular" w:hAnsi="LibreBaskerville-Regular" w:cs="LibreBaskerville-Regular"/>
          <w:color w:val="616160"/>
        </w:rPr>
        <w:t>esprimono</w:t>
      </w:r>
      <w:r>
        <w:rPr>
          <w:rFonts w:ascii="LibreBaskerville-Regular" w:hAnsi="LibreBaskerville-Regular" w:cs="LibreBaskerville-Regular"/>
          <w:color w:val="616160"/>
        </w:rPr>
        <w:t xml:space="preserve"> soddisfazione </w:t>
      </w:r>
      <w:r w:rsidR="004B339A">
        <w:rPr>
          <w:rFonts w:ascii="LibreBaskerville-Regular" w:hAnsi="LibreBaskerville-Regular" w:cs="LibreBaskerville-Regular"/>
          <w:color w:val="616160"/>
        </w:rPr>
        <w:t xml:space="preserve">per </w:t>
      </w:r>
      <w:r>
        <w:rPr>
          <w:rFonts w:ascii="LibreBaskerville-Regular" w:hAnsi="LibreBaskerville-Regular" w:cs="LibreBaskerville-Regular"/>
          <w:color w:val="616160"/>
        </w:rPr>
        <w:t xml:space="preserve">la </w:t>
      </w:r>
      <w:r w:rsidR="00A17DFE">
        <w:rPr>
          <w:rFonts w:ascii="LibreBaskerville-Regular" w:hAnsi="LibreBaskerville-Regular" w:cs="LibreBaskerville-Regular"/>
          <w:color w:val="616160"/>
        </w:rPr>
        <w:t>sentenza</w:t>
      </w:r>
      <w:r>
        <w:rPr>
          <w:rFonts w:ascii="LibreBaskerville-Regular" w:hAnsi="LibreBaskerville-Regular" w:cs="LibreBaskerville-Regular"/>
          <w:color w:val="616160"/>
        </w:rPr>
        <w:t xml:space="preserve">, pur </w:t>
      </w:r>
      <w:r w:rsidR="00CA1F43">
        <w:rPr>
          <w:rFonts w:ascii="LibreBaskerville-Regular" w:hAnsi="LibreBaskerville-Regular" w:cs="LibreBaskerville-Regular"/>
          <w:color w:val="616160"/>
        </w:rPr>
        <w:t>evidenziando</w:t>
      </w:r>
      <w:r>
        <w:rPr>
          <w:rFonts w:ascii="LibreBaskerville-Regular" w:hAnsi="LibreBaskerville-Regular" w:cs="LibreBaskerville-Regular"/>
          <w:color w:val="616160"/>
        </w:rPr>
        <w:t xml:space="preserve"> </w:t>
      </w:r>
      <w:r w:rsidR="00A17DFE">
        <w:rPr>
          <w:rFonts w:ascii="LibreBaskerville-Regular" w:hAnsi="LibreBaskerville-Regular" w:cs="LibreBaskerville-Regular"/>
          <w:color w:val="616160"/>
        </w:rPr>
        <w:t>le</w:t>
      </w:r>
      <w:r w:rsidR="00A17DFE" w:rsidRPr="00D97EE0">
        <w:rPr>
          <w:rFonts w:ascii="LibreBaskerville-Regular" w:hAnsi="LibreBaskerville-Regular" w:cs="LibreBaskerville-Regular"/>
          <w:color w:val="616160"/>
        </w:rPr>
        <w:t xml:space="preserve"> incongruenze rispetto </w:t>
      </w:r>
      <w:r w:rsidR="00A17DFE">
        <w:rPr>
          <w:rFonts w:ascii="LibreBaskerville-Regular" w:hAnsi="LibreBaskerville-Regular" w:cs="LibreBaskerville-Regular"/>
          <w:color w:val="616160"/>
        </w:rPr>
        <w:t>ad un altro recente caso di inquinamento ambientale relativo alla c.d.</w:t>
      </w:r>
      <w:r w:rsidR="00A17DFE" w:rsidRPr="00D97EE0">
        <w:rPr>
          <w:rFonts w:ascii="LibreBaskerville-Regular" w:hAnsi="LibreBaskerville-Regular" w:cs="LibreBaskerville-Regular"/>
          <w:color w:val="616160"/>
        </w:rPr>
        <w:t xml:space="preserve"> Terra dei Fuochi </w:t>
      </w:r>
      <w:r w:rsidR="00A17DFE">
        <w:rPr>
          <w:rFonts w:ascii="LibreBaskerville-Regular" w:hAnsi="LibreBaskerville-Regular" w:cs="LibreBaskerville-Regular"/>
          <w:color w:val="616160"/>
        </w:rPr>
        <w:t xml:space="preserve">in cui la Corte europea ha accertato la violazione del diritto alla vita </w:t>
      </w:r>
      <w:r w:rsidR="00A17DFE" w:rsidRPr="00004C69">
        <w:rPr>
          <w:rFonts w:ascii="LibreBaskerville-Regular" w:hAnsi="LibreBaskerville-Regular" w:cs="LibreBaskerville-Regular"/>
          <w:i/>
          <w:iCs/>
          <w:color w:val="616160"/>
        </w:rPr>
        <w:t>ex</w:t>
      </w:r>
      <w:r w:rsidR="00A17DFE">
        <w:rPr>
          <w:rFonts w:ascii="LibreBaskerville-Regular" w:hAnsi="LibreBaskerville-Regular" w:cs="LibreBaskerville-Regular"/>
          <w:color w:val="616160"/>
        </w:rPr>
        <w:t xml:space="preserve"> art. 2 CEDU </w:t>
      </w:r>
      <w:r w:rsidR="00A17DFE" w:rsidRPr="00D97EE0">
        <w:rPr>
          <w:rFonts w:ascii="LibreBaskerville-Regular" w:hAnsi="LibreBaskerville-Regular" w:cs="LibreBaskerville-Regular"/>
          <w:color w:val="616160"/>
        </w:rPr>
        <w:t>(</w:t>
      </w:r>
      <w:r w:rsidR="00A17DFE" w:rsidRPr="00D97EE0">
        <w:rPr>
          <w:rFonts w:ascii="LibreBaskerville-Regular" w:hAnsi="LibreBaskerville-Regular" w:cs="LibreBaskerville-Regular"/>
          <w:i/>
          <w:iCs/>
          <w:color w:val="616160"/>
        </w:rPr>
        <w:t>Cannavacciuolo e altri c. Italia</w:t>
      </w:r>
      <w:r w:rsidR="00A17DFE" w:rsidRPr="00D97EE0">
        <w:rPr>
          <w:rFonts w:ascii="LibreBaskerville-Regular" w:hAnsi="LibreBaskerville-Regular" w:cs="LibreBaskerville-Regular"/>
          <w:color w:val="616160"/>
        </w:rPr>
        <w:t>, 30.1.2025)</w:t>
      </w:r>
      <w:r w:rsidR="00A17DFE">
        <w:rPr>
          <w:rFonts w:ascii="LibreBaskerville-Regular" w:hAnsi="LibreBaskerville-Regular" w:cs="LibreBaskerville-Regular"/>
          <w:color w:val="616160"/>
        </w:rPr>
        <w:t>. Auspicano i legali che tali differenze possano</w:t>
      </w:r>
      <w:r w:rsidR="008146A4">
        <w:rPr>
          <w:rFonts w:ascii="LibreBaskerville-Regular" w:hAnsi="LibreBaskerville-Regular" w:cs="LibreBaskerville-Regular"/>
          <w:color w:val="616160"/>
        </w:rPr>
        <w:t>,</w:t>
      </w:r>
      <w:r w:rsidR="00A17DFE">
        <w:rPr>
          <w:rFonts w:ascii="LibreBaskerville-Regular" w:hAnsi="LibreBaskerville-Regular" w:cs="LibreBaskerville-Regular"/>
          <w:color w:val="616160"/>
        </w:rPr>
        <w:t xml:space="preserve"> in un prossimo futuro</w:t>
      </w:r>
      <w:r w:rsidR="008146A4">
        <w:rPr>
          <w:rFonts w:ascii="LibreBaskerville-Regular" w:hAnsi="LibreBaskerville-Regular" w:cs="LibreBaskerville-Regular"/>
          <w:color w:val="616160"/>
        </w:rPr>
        <w:t>,</w:t>
      </w:r>
      <w:r w:rsidR="00A17DFE">
        <w:rPr>
          <w:rFonts w:ascii="LibreBaskerville-Regular" w:hAnsi="LibreBaskerville-Regular" w:cs="LibreBaskerville-Regular"/>
          <w:color w:val="616160"/>
        </w:rPr>
        <w:t xml:space="preserve"> essere superate. </w:t>
      </w:r>
    </w:p>
    <w:sectPr w:rsidR="00A17DFE" w:rsidSect="00436E03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02D86" w14:textId="77777777" w:rsidR="00F81A81" w:rsidRDefault="00F81A81" w:rsidP="004A1A69">
      <w:r>
        <w:separator/>
      </w:r>
    </w:p>
  </w:endnote>
  <w:endnote w:type="continuationSeparator" w:id="0">
    <w:p w14:paraId="29C6A0E3" w14:textId="77777777" w:rsidR="00F81A81" w:rsidRDefault="00F81A81" w:rsidP="004A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hayaLibre-Extra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leway-Regular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reBaskervill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reBaskerville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561A7" w14:textId="77777777" w:rsidR="00F81A81" w:rsidRDefault="00F81A81" w:rsidP="004A1A69">
      <w:r>
        <w:separator/>
      </w:r>
    </w:p>
  </w:footnote>
  <w:footnote w:type="continuationSeparator" w:id="0">
    <w:p w14:paraId="0D3E3EB3" w14:textId="77777777" w:rsidR="00F81A81" w:rsidRDefault="00F81A81" w:rsidP="004A1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46"/>
    <w:rsid w:val="000046D4"/>
    <w:rsid w:val="00026A6B"/>
    <w:rsid w:val="000500FC"/>
    <w:rsid w:val="00054CA1"/>
    <w:rsid w:val="00090F82"/>
    <w:rsid w:val="000970B7"/>
    <w:rsid w:val="000B13C9"/>
    <w:rsid w:val="000B7C85"/>
    <w:rsid w:val="000C338C"/>
    <w:rsid w:val="000E1A26"/>
    <w:rsid w:val="000E6C43"/>
    <w:rsid w:val="000F37FF"/>
    <w:rsid w:val="001047BD"/>
    <w:rsid w:val="001215E9"/>
    <w:rsid w:val="00127DEA"/>
    <w:rsid w:val="00133F0B"/>
    <w:rsid w:val="001825F6"/>
    <w:rsid w:val="00190BE4"/>
    <w:rsid w:val="001A094B"/>
    <w:rsid w:val="001B32BA"/>
    <w:rsid w:val="001B5ECF"/>
    <w:rsid w:val="001C3240"/>
    <w:rsid w:val="001C520E"/>
    <w:rsid w:val="001D6E37"/>
    <w:rsid w:val="001D7745"/>
    <w:rsid w:val="001F5A12"/>
    <w:rsid w:val="00221DEA"/>
    <w:rsid w:val="00275B4E"/>
    <w:rsid w:val="002D2425"/>
    <w:rsid w:val="002D562E"/>
    <w:rsid w:val="00303485"/>
    <w:rsid w:val="00320D10"/>
    <w:rsid w:val="00325A4F"/>
    <w:rsid w:val="0038467D"/>
    <w:rsid w:val="003D48E7"/>
    <w:rsid w:val="003F3E31"/>
    <w:rsid w:val="00424B1D"/>
    <w:rsid w:val="00431701"/>
    <w:rsid w:val="00435BCE"/>
    <w:rsid w:val="00436A85"/>
    <w:rsid w:val="00436E03"/>
    <w:rsid w:val="004622EF"/>
    <w:rsid w:val="00466734"/>
    <w:rsid w:val="00487F3B"/>
    <w:rsid w:val="0049504B"/>
    <w:rsid w:val="004A1A69"/>
    <w:rsid w:val="004B339A"/>
    <w:rsid w:val="004B572A"/>
    <w:rsid w:val="004C7879"/>
    <w:rsid w:val="004E7650"/>
    <w:rsid w:val="005630FA"/>
    <w:rsid w:val="0056402A"/>
    <w:rsid w:val="005720F0"/>
    <w:rsid w:val="005755BB"/>
    <w:rsid w:val="00575E17"/>
    <w:rsid w:val="005A3349"/>
    <w:rsid w:val="005A4324"/>
    <w:rsid w:val="005C06BE"/>
    <w:rsid w:val="005C22EE"/>
    <w:rsid w:val="005D5560"/>
    <w:rsid w:val="005E57F5"/>
    <w:rsid w:val="0062312E"/>
    <w:rsid w:val="00636C27"/>
    <w:rsid w:val="0067197A"/>
    <w:rsid w:val="00676417"/>
    <w:rsid w:val="00694DE3"/>
    <w:rsid w:val="006B0F26"/>
    <w:rsid w:val="006C06C8"/>
    <w:rsid w:val="006E2D9D"/>
    <w:rsid w:val="0070309F"/>
    <w:rsid w:val="0071002A"/>
    <w:rsid w:val="00713E3C"/>
    <w:rsid w:val="00732BD2"/>
    <w:rsid w:val="00741057"/>
    <w:rsid w:val="00754682"/>
    <w:rsid w:val="00761F2A"/>
    <w:rsid w:val="00764065"/>
    <w:rsid w:val="00776605"/>
    <w:rsid w:val="007774F1"/>
    <w:rsid w:val="007A5DFA"/>
    <w:rsid w:val="007B591C"/>
    <w:rsid w:val="007B6319"/>
    <w:rsid w:val="007D0036"/>
    <w:rsid w:val="007D103E"/>
    <w:rsid w:val="0080799B"/>
    <w:rsid w:val="00811709"/>
    <w:rsid w:val="008146A4"/>
    <w:rsid w:val="00823036"/>
    <w:rsid w:val="00842D46"/>
    <w:rsid w:val="00852BFC"/>
    <w:rsid w:val="008530A1"/>
    <w:rsid w:val="00874152"/>
    <w:rsid w:val="0088213B"/>
    <w:rsid w:val="0088769B"/>
    <w:rsid w:val="00892668"/>
    <w:rsid w:val="008A1C69"/>
    <w:rsid w:val="008B511E"/>
    <w:rsid w:val="008D14AA"/>
    <w:rsid w:val="008F027F"/>
    <w:rsid w:val="00900F8B"/>
    <w:rsid w:val="009376B4"/>
    <w:rsid w:val="009B1651"/>
    <w:rsid w:val="009E7F85"/>
    <w:rsid w:val="009F385C"/>
    <w:rsid w:val="00A015B1"/>
    <w:rsid w:val="00A15D26"/>
    <w:rsid w:val="00A17DFE"/>
    <w:rsid w:val="00A20CCE"/>
    <w:rsid w:val="00A53FE0"/>
    <w:rsid w:val="00A547C9"/>
    <w:rsid w:val="00A62446"/>
    <w:rsid w:val="00A85884"/>
    <w:rsid w:val="00A9389E"/>
    <w:rsid w:val="00A96DF4"/>
    <w:rsid w:val="00AB5FAB"/>
    <w:rsid w:val="00AB6E77"/>
    <w:rsid w:val="00AC0E07"/>
    <w:rsid w:val="00AD72F8"/>
    <w:rsid w:val="00B00B9E"/>
    <w:rsid w:val="00B131E1"/>
    <w:rsid w:val="00B23621"/>
    <w:rsid w:val="00B36726"/>
    <w:rsid w:val="00B36BAB"/>
    <w:rsid w:val="00B56078"/>
    <w:rsid w:val="00B64679"/>
    <w:rsid w:val="00B9741E"/>
    <w:rsid w:val="00C701FB"/>
    <w:rsid w:val="00C968BE"/>
    <w:rsid w:val="00CA1F43"/>
    <w:rsid w:val="00CB510A"/>
    <w:rsid w:val="00CE15F9"/>
    <w:rsid w:val="00D008E6"/>
    <w:rsid w:val="00D25DA7"/>
    <w:rsid w:val="00D51C1C"/>
    <w:rsid w:val="00D62A58"/>
    <w:rsid w:val="00D87292"/>
    <w:rsid w:val="00D97EE0"/>
    <w:rsid w:val="00DA6204"/>
    <w:rsid w:val="00DD422D"/>
    <w:rsid w:val="00DE4D3D"/>
    <w:rsid w:val="00DE7688"/>
    <w:rsid w:val="00E11B35"/>
    <w:rsid w:val="00E12CDC"/>
    <w:rsid w:val="00E342B0"/>
    <w:rsid w:val="00E420DD"/>
    <w:rsid w:val="00E91ECB"/>
    <w:rsid w:val="00E9356E"/>
    <w:rsid w:val="00EA1446"/>
    <w:rsid w:val="00EC7168"/>
    <w:rsid w:val="00ED0917"/>
    <w:rsid w:val="00EE335A"/>
    <w:rsid w:val="00EE59FA"/>
    <w:rsid w:val="00EF25BB"/>
    <w:rsid w:val="00F105FE"/>
    <w:rsid w:val="00F11C6F"/>
    <w:rsid w:val="00F1281E"/>
    <w:rsid w:val="00F1707B"/>
    <w:rsid w:val="00F32EA4"/>
    <w:rsid w:val="00F36A4A"/>
    <w:rsid w:val="00F542A8"/>
    <w:rsid w:val="00F57DDE"/>
    <w:rsid w:val="00F616DF"/>
    <w:rsid w:val="00F81A81"/>
    <w:rsid w:val="00F85F43"/>
    <w:rsid w:val="00F9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B3210A"/>
  <w15:docId w15:val="{43D0FC0C-5714-43F2-9BD7-6F2E3536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D4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D46"/>
  </w:style>
  <w:style w:type="character" w:styleId="Hyperlink">
    <w:name w:val="Hyperlink"/>
    <w:basedOn w:val="DefaultParagraphFont"/>
    <w:uiPriority w:val="99"/>
    <w:unhideWhenUsed/>
    <w:rsid w:val="00424B1D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424B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334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1A6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A6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A1A6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A69"/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DD422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64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0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06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065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0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065"/>
    <w:rPr>
      <w:rFonts w:ascii="Segoe UI" w:hAnsi="Segoe UI" w:cs="Segoe UI"/>
      <w:sz w:val="18"/>
      <w:szCs w:val="18"/>
    </w:rPr>
  </w:style>
  <w:style w:type="character" w:customStyle="1" w:styleId="s6b621b36">
    <w:name w:val="s6b621b36"/>
    <w:basedOn w:val="DefaultParagraphFont"/>
    <w:rsid w:val="00F57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2799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 studio legale internazionale saccucci &amp; partners (s&amp;p) è un'associazione professionale che si propone nell’attuale mercato dei servizi legali come una realtà dinamica, altamente specializzata, a carattere plurisettoriale e vocazione fortemente internaz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studio legale internazionale saccucci &amp; partners (s&amp;p) è un'associazione professionale che si propone nell’attuale mercato dei servizi legali come una realtà dinamica, altamente specializzata, a carattere plurisettoriale e vocazione fortemente internazionalistica, dotata di un’organizzazione evoluta e in grado di offrire una varietà di servizi integrati, di consulenza e assistenza giudiziale e stragiudiziale, in materie particolarmente complesse che richiedono competenze di natura interdisciplinare. lo studio s&amp;p opera principalmente nel campo dei diritti umani, del diritto internazionale, del diritto civile, del diritto amministrativo e del diritto sanitario e farmaceutico, assistendo una variegata clientela nazionale e internazionale (privati, società italiane e straniere, enti pubblici, strutture sanitarie pubbliche e private, organizzazioni non governative, associazioni di categoria, ecc.). negli ambiti di sua specializzazione, lo studio s&amp;p può contare su solide partnership professionali nazionali e internazionali e su un’ampia rete di qualificati consulenti esterni.</dc:title>
  <dc:subject/>
  <dc:creator>Valeria Sebastiani</dc:creator>
  <cp:keywords/>
  <dc:description/>
  <cp:lastModifiedBy>Marco Caldiroli</cp:lastModifiedBy>
  <cp:revision>3</cp:revision>
  <cp:lastPrinted>2025-05-06T23:27:00Z</cp:lastPrinted>
  <dcterms:created xsi:type="dcterms:W3CDTF">2025-05-06T23:56:00Z</dcterms:created>
  <dcterms:modified xsi:type="dcterms:W3CDTF">2025-05-06T16:09:00Z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0517b739-01ad-4fdc-bef9-9f249d3a4528</vt:lpwstr>
  </property>
</Properties>
</file>