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LEGGE REGIONALE 29 settembre 2003,  N. 17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Norme per il risanamento dell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ambiente, bonifica e smaltimento dell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amianto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(BURL n. 40, 1</w:t>
      </w: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º</w:t>
      </w: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suppl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ord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. del 03 Ottobre 2003 )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urn:nir:regione.lombardia:legge:2003-09-29;17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1.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Finalit</w:t>
      </w: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à</w:t>
      </w: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La presente legge attua le disposizioni della legge 27 marzo 1992, n. 257 (Norme relative alla cessazione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impiego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amianto) 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osservanza del decreto del Presidente della Repubblica 8 agosto 1994 (Atto di indirizzo e coordinamento alle regioni ed alle province autonome di Trento e di Bolzano per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adozione di piani di protezione, di decontaminazione, di smaltimento e di bonifica </w:t>
      </w:r>
      <w:r>
        <w:rPr>
          <w:rFonts w:ascii="Times New Roman" w:hAnsi="Times New Roman" w:cs="Times New Roman"/>
          <w:color w:val="000000"/>
          <w:sz w:val="20"/>
          <w:szCs w:val="20"/>
        </w:rPr>
        <w:t>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ambiente, ai fini della difesa dai pericoli derivanti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amianto), estendendo il campo di intervento anche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amianto in matrice compatta.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Sono obiettivi della presente legge: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 la salvaguardia del benessere delle persone rispetto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inquinamento da fibre di amianto;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 la prescrizione di norme di prevenzione per la bonifica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amianto;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sz w:val="20"/>
          <w:szCs w:val="20"/>
        </w:rPr>
        <w:t>c) la promozione di iniziative di educazione e informazione finalizzate a ridurre la presenza dell</w:t>
      </w:r>
      <w:r w:rsidRPr="009B4300">
        <w:rPr>
          <w:rFonts w:ascii="Times New Roman" w:hAnsi="Times New Roman" w:cs="Times New Roman"/>
          <w:sz w:val="20"/>
          <w:szCs w:val="20"/>
        </w:rPr>
        <w:t>’</w:t>
      </w:r>
      <w:r w:rsidRPr="009B4300">
        <w:rPr>
          <w:rFonts w:ascii="Times New Roman" w:hAnsi="Times New Roman" w:cs="Times New Roman"/>
          <w:sz w:val="20"/>
          <w:szCs w:val="20"/>
        </w:rPr>
        <w:t>amianto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anche attraverso il coinvolgimento del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le Aziende sanitarie locali (ASL) e dei medici di medicina generale;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(1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c bis) la promozione di politiche di sostegno per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assi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stenza dei soggetti ex esposti all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amianto, colpiti da malattie asbesto correlate;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(2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 ter) la conoscenza epidemiologica e </w:t>
      </w:r>
      <w:proofErr w:type="spellStart"/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preven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zionale</w:t>
      </w:r>
      <w:proofErr w:type="spellEnd"/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nella popolazione e la sorveglianza sanitaria dei soggetti ex esposti a fibre d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amianto;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(2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c quater) la formazione e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agg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iornamento degli operatori delle ASL,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Agenzia regionale per la protezione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ambiente della Lombardia (ARPA) e delle imprese che si occupano di attivit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à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di bonifica e smaltimento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amianto;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(2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 </w:t>
      </w:r>
      <w:proofErr w:type="spellStart"/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quinquies</w:t>
      </w:r>
      <w:proofErr w:type="spellEnd"/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) la promozione di finanziamenti agevolati per la bonifica di edifici con presenza di manufatti contenenti amianto.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(2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 bis.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La Regione favorisce la rimozione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amianto e la sostituzione di manufatti contenenti amianto con materiali e sistemi ecologici. In particolare promuove, in collaborazione con le province, la sostituzione delle coperture in eternit o contenenti amianto con coperture dotate di pannelli solari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fotovoltaici.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(3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 ter.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In attuazione dei principi di autosufficienza e prossimit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à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nella gestione dei rifiuti e al fine di limitare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il trasporto di rifiuti pericolosi, la Regione Lombardia, attraverso i propri strumenti di pianificazione e programmazione, stabilisce criteri atti ad assicurare lo smaltimento o il trattamento di quote riservate per i rifiuti contenenti amianto (RCA) pro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venienti dalla rimozione sul territorio regionale presso impianti lombardi.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(3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1 bis(4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 xml:space="preserve">Politiche di sostegno.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 La Regione promuove politiche di sostegno per l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assistenza dei soggetti ex esposti, colpiti da malattie asbesto correlate.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2. 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 istituito un fondo per le politiche di sostegno per l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assistenza dei soggetti ex esposti, colpiti da malattie asbesto correlate.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3. 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 La Regione attua il programma di sorveglianza sanitaria dei soggetti ex esposti attraverso le Unit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à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 operative ospedaliere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 di medicina del lavoro (UOOML) o il dipartimento oncologico provinciale competente, in una sede adeguata e prossima alle aree di cui al comma 5.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4. 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Per accedere alla sorveglianza sanitaria di cui al comma 3, il soggetto ex esposto si rivolge alla ASL di a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ppartenenza oppure esprime, nella richiesta di riconoscimento di benefici previdenziali o assicurativi presentata all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INAIL, il consenso per la segnalazione all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ASL del proprio nominativo.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5. 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La Giunta regionale individua le aree di criticit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à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 nelle quali 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è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 accertata una incidenza di mortalit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à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 xml:space="preserve"> per malattie asbesto correlate, utilizzando il registro regionale dei mesoteliomi sugli effetti neoplastici causati dall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esposizione all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color w:val="FF0000"/>
          <w:sz w:val="20"/>
          <w:szCs w:val="20"/>
        </w:rPr>
        <w:t>amianto.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2.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Bonifica di piccoli quantitativi di amianto.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 osserva</w:t>
      </w:r>
      <w:r>
        <w:rPr>
          <w:rFonts w:ascii="Times New Roman" w:hAnsi="Times New Roman" w:cs="Times New Roman"/>
          <w:color w:val="000000"/>
          <w:sz w:val="20"/>
          <w:szCs w:val="20"/>
        </w:rPr>
        <w:t>nza del D.P.R. 8 agosto 1994 sono erogati contributi a fondo perduto ai comuni per il risanamento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ambiente mediante bonifica e smaltimento di piccole quantit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amianto, ovvero inferiori a metri quadrati trenta e a chilogrammi quattrocentocinquanta.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La Giunta regionale, con propria deliberazione, d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intesa con la competente commissione consiliare in sede di prima </w:t>
      </w: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approvazione, approva il documento tecnico concernente il piano di lavoro per le opere di bonifica di cui al comma 1.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comuni isti</w:t>
      </w:r>
      <w:r>
        <w:rPr>
          <w:rFonts w:ascii="Times New Roman" w:hAnsi="Times New Roman" w:cs="Times New Roman"/>
          <w:color w:val="000000"/>
          <w:sz w:val="20"/>
          <w:szCs w:val="20"/>
        </w:rPr>
        <w:t>tuiscono un catasto dei siti da bonificare, individuando e censendo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interno del proprio territorio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esistenza di micro discariche di amianto; il censimento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effettuato anche con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ausilio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ASL e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ARPA.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comuni promuovono iniziative di i</w:t>
      </w:r>
      <w:r>
        <w:rPr>
          <w:rFonts w:ascii="Times New Roman" w:hAnsi="Times New Roman" w:cs="Times New Roman"/>
          <w:color w:val="000000"/>
          <w:sz w:val="20"/>
          <w:szCs w:val="20"/>
        </w:rPr>
        <w:t>nformazione e coinvolgimento della popolazione sui problemi causati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amianto.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4 bis.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I comuni, nel rispetto dei requisiti previsti dalla normativa vigente per le imprese che si occupano di smaltimento e rimozione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amianto, possono stipulare conven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zioni con le imprese di ritiro e smaltimento dei rifiuti al fine della raccolta in sicurezza di piccoli quantitativi di rifiuti contenenti amianto.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(5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 attuazione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articolo 1, la Regione prevede contributi da erogare alle seguenti categorie: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 soggetti privati, per la bonifica di piccoli quantitativi di materiali contenenti amianto provenienti da edifici adibiti ad abita</w:t>
      </w:r>
      <w:r>
        <w:rPr>
          <w:rFonts w:ascii="Times New Roman" w:hAnsi="Times New Roman" w:cs="Times New Roman"/>
          <w:color w:val="000000"/>
          <w:sz w:val="20"/>
          <w:szCs w:val="20"/>
        </w:rPr>
        <w:t>zione civile e relative pertinenze ed edifici o impianti di attivit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artigianali di tipo familiare;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b)  comuni, per la bonifica e lo smaltimento di rifiuti contenenti amianto abbandonati in aree pubbliche.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 deliberazione della Giunta regionale sono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stabiliti: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 i criteri e le priorit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ammissione ai contributi;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 i termini e le modalit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la presentazione delle domande per accedere ai contributi;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c)  le modalit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erogazione dei contributi e la spesa massima ammessa per ogni singolo intervento;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d)  i criteri per la determinazione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ammissibilit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dei contributi;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e)  i termini del bando per individuare le aziende convenzionate che espletano il servizio di bon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ifica e smaltimento di piccoli quantitativi di materiali contenenti amianto presso i soggetti privati e i comuni beneficiari dei contributi;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f)  i criteri per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eventuale revoca dei contributi.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fondi sono ripartiti tra i comuni, singoli o associati, che abbiano adottato il proprio piano di lavoro, in conformit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 le previsioni del documento di cui al comma 2, per bonificare piccole quantit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amianto, fino ad un massimo del 30% della spesa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ritenuta ammissibile e per un numero minimo di interventi previsto nel bando di gara di cui al comma 6, lettera e).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8.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comuni espletano le attivit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propria competenza relative alla bonifica di aree pubbliche, nonch</w:t>
      </w:r>
      <w:r>
        <w:rPr>
          <w:rFonts w:ascii="Times New Roman" w:hAnsi="Times New Roman" w:cs="Times New Roman"/>
          <w:color w:val="000000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quelle relative alle richieste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contributo presentate negli uffici comunali dai soggetti privati.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le verifiche di competenza sugli interventi oggetto del contributo, le ASL fanno riferimento al documento tecnico concernente il piano di lavoro di cui al comma 2.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3.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Pia</w:t>
      </w: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 xml:space="preserve">no Regionale Amianto Lombardia </w:t>
      </w: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 xml:space="preserve"> PRAL.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La Regione approva, con deliberazione della Giunta regionale, d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intesa con la competente commissione consiliare, entro novanta giorni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entrata in vigore della presente legge, il "Piano Regionale Amianto Lombar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dia" di seguito denominato PRAL.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Il PRAL contiene le azioni, gli strumenti e le risorse necessari per realizzare gli obiettivi di cui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art. 1.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la redazione del PRAL, le Direzioni generali Qualit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ambiente, Risorse idriche e servizi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pubblica utilit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 Sanit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istituiscono apposita commissione interdisciplinare tecnico-scientifica.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Il PRAL ha durata quinquennale ed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aggiornato con deliberazione della Giunta regionale, in seguito a modifiche che dovessero intervenire nella legisla</w:t>
      </w:r>
      <w:r>
        <w:rPr>
          <w:rFonts w:ascii="Times New Roman" w:hAnsi="Times New Roman" w:cs="Times New Roman"/>
          <w:color w:val="000000"/>
          <w:sz w:val="20"/>
          <w:szCs w:val="20"/>
        </w:rPr>
        <w:t>zione, o come conseguenza delle conoscenze acquisite durante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attuazione dello stesso, e comunque ogni due anni.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4.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Contenuto del PRAL.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Il PRAL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articolato nei seguenti punti: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 conoscenza del rischio attraverso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effettuazione di: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 censimento degli impianti, degli edifici, dei siti e dei mezzi di trasporto con presenza di amianto o di materiali contenenti amianto, effettuato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ASL in collaborazione con le province e i comuni.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aggiornamento delle stime dei quantitativi di ami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anto presente sul territorio regionale avviene con cadenza annuale;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(6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 mappatura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georeferenziata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amianto presente sul te</w:t>
      </w:r>
      <w:r>
        <w:rPr>
          <w:rFonts w:ascii="Times New Roman" w:hAnsi="Times New Roman" w:cs="Times New Roman"/>
          <w:color w:val="000000"/>
          <w:sz w:val="20"/>
          <w:szCs w:val="20"/>
        </w:rPr>
        <w:t>rritorio regionale, effettuata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ARPA;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3)  monitoraggio dei livelli di concentrazione di fibre di amianto nell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aria;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 elaborazione di criteri per la valutazione del livello di rischio per la bonifica e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individuazione delle priorit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effettuare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la medesima;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c)  definizione delle priorit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degli interventi di bonifica, da parte del Nucleo amianto di cui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articolo 8;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d)  monitoraggio dal punto di vista sanitario ed epidemiologico attraverso: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 raccolta di dati epidemiologici;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  sorvegli</w:t>
      </w:r>
      <w:r>
        <w:rPr>
          <w:rFonts w:ascii="Times New Roman" w:hAnsi="Times New Roman" w:cs="Times New Roman"/>
          <w:color w:val="000000"/>
          <w:sz w:val="20"/>
          <w:szCs w:val="20"/>
        </w:rPr>
        <w:t>anza sanitaria dei lavoratori esposti ed ex esposti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amianto;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3)  utilizzo del Registro regionale dei mesoteliomi sugli effetti neoplastici causati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esposizione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amianto;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e)  definizione delle linee di indirizzo e coordinamento delle attivit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</w:t>
      </w:r>
      <w:r>
        <w:rPr>
          <w:rFonts w:ascii="Times New Roman" w:hAnsi="Times New Roman" w:cs="Times New Roman"/>
          <w:color w:val="000000"/>
          <w:sz w:val="20"/>
          <w:szCs w:val="20"/>
        </w:rPr>
        <w:t>elle ASL e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ARPA;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f)  definizione dei criteri per la elaborazione di un piano regionale di smaltimento attraverso: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 censimento delle ditte che svolgono attivit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bonifica e smaltimento;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  individuazione degli impianti esistenti per fronteggi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are la domanda di smaltimento;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2 bis) individuazione delle linee guida per la localizzazione di siti idonei per lo smaltimento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amianto;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(7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g)  individuazione degli strumenti per la formazione e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aggiornamento degli operatori delle ASL,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ARPA e delle imprese che effettuano attivit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bonifica e di smaltimento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amianto;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h)  promozione a livello comunale di iniziative di informazione e coinvolgimento della popolazione sui problemi causati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amianto;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h bis) promozione, in collaborazione con le province, di iniziative finalizzate alla innovazione tecnologica per lo smaltimento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amianto.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(8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5.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Registri.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Entro trenta giorni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approvazione del PRAL, presso ogni ASL competente per territorio sono istituiti i seguenti registri: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 registro pubblico degli edifici industriali e ad uso abitativo, dismessi o in utilizz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o, degli impianti, dei mezzi di trasporto e dei luoghi con presenza o contaminazione di amianto, nel quale vengono annotati tutti gli edifici e i siti che contengono amianto, indicando: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 tipo di amianto;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 luogo dove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presente;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3)  grado di conse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rvazione;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 quantitativo presunto;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5)  pericolosit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dispersione delle fibre;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6)  livello di priorit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dei tempi di bonifica;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 registro delle imprese che effettuano attivit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bonifica e smaltimento di amianto o di materiali contenenti amianto.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Le modalit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tenuta ed aggiornamento dei registri di cui al comma 1 sono definite dal PRAL.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Sono delegati alle ASL la raccolta dei dati riguardanti le imprese ed i relativi addetti che utilizzano indirettamente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amianto nei processi produttivi,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eseguono bonifiche a manufatti ed a strutture contenenti amianto e svolgono attivit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smaltimento dello stesso materiale, nonch</w:t>
      </w:r>
      <w:r>
        <w:rPr>
          <w:rFonts w:ascii="Times New Roman" w:hAnsi="Times New Roman" w:cs="Times New Roman"/>
          <w:color w:val="000000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il censimento dei siti contenenti amianto di cui alla legge 257/1992 . Le suddette imprese trasmettono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ASL nel cui terri</w:t>
      </w:r>
      <w:r>
        <w:rPr>
          <w:rFonts w:ascii="Times New Roman" w:hAnsi="Times New Roman" w:cs="Times New Roman"/>
          <w:color w:val="000000"/>
          <w:sz w:val="20"/>
          <w:szCs w:val="20"/>
        </w:rPr>
        <w:t>torio hanno sede legale o, per gli impianti fissi,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ASL nel cui territorio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situata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unit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produttiva, la relazione di cui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articolo 9 della legge 257/1992 . La relazione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annuale e deve essere trasmessa entro il mese di marzo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anno successivo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quello di riferimento, anche se a tale data siano cessate le attivit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soggette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obbligo di relazione.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E' abrogato l'articolo 4, comma 58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sexies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della legge regionale 5 gennaio 2000, n. 1 (Riordino del sistema delle autonomie in Lombardia. Attuaz</w:t>
      </w:r>
      <w:r>
        <w:rPr>
          <w:rFonts w:ascii="Times New Roman" w:hAnsi="Times New Roman" w:cs="Times New Roman"/>
          <w:color w:val="000000"/>
          <w:sz w:val="20"/>
          <w:szCs w:val="20"/>
        </w:rPr>
        <w:t>ione del d.lgs. 31 marzo 1998, n. 112 'Conferimento di funzioni e compiti amministrativi dello Stato alle Regioni ed agli enti locali, in attuazione del Capo I della legge 15 marzo 1997, n. 59')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 proposta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Assessore regionale alla Sanit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viene potenziato il Registro regionale dei mesoteliomi.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6.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Obblighi dei proprietari.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Al fine di conseguire il censimento completo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amianto presente sul territorio regionale ai sensi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articolo 12 della legge 257/1992 , i soggetti pubblici e i privati proprietari sono tenuti a: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a)  per edifici, impianti o luoghi nei quali vi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</w:t>
      </w:r>
      <w:r>
        <w:rPr>
          <w:rFonts w:ascii="Times New Roman" w:hAnsi="Times New Roman" w:cs="Times New Roman"/>
          <w:color w:val="000000"/>
          <w:sz w:val="20"/>
          <w:szCs w:val="20"/>
        </w:rPr>
        <w:t>esenza di amianto o di materiali contenenti amianto, a comunicare tale presenza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ASL competente per territorio, qualora non gi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effettuato;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b)  per mezzi di trasporto nei quali vi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presenza di amianto o di materiali contenenti amianto, a comunicare 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la ASL competente per territorio ed alla amministrazione provinciale tale presenza;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c)  per impianti di smaltimento di amianto o di materiali contenenti amianto, a comunicare alla ASL competente per territorio ed alla amministrazione provinciale i quantit</w:t>
      </w:r>
      <w:r>
        <w:rPr>
          <w:rFonts w:ascii="Times New Roman" w:hAnsi="Times New Roman" w:cs="Times New Roman"/>
          <w:color w:val="000000"/>
          <w:sz w:val="20"/>
          <w:szCs w:val="20"/>
        </w:rPr>
        <w:t>ativi smaltiti, aggiornando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informazione annualmente.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La tipologia e il grado di dettaglio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informazione da comunicare sono stabiliti con deliberazione della Giunta regionale contestualmente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approvazione del PRAL.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iscrizione nei regist</w:t>
      </w:r>
      <w:r>
        <w:rPr>
          <w:rFonts w:ascii="Times New Roman" w:hAnsi="Times New Roman" w:cs="Times New Roman"/>
          <w:color w:val="000000"/>
          <w:sz w:val="20"/>
          <w:szCs w:val="20"/>
        </w:rPr>
        <w:t>ri di cui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articolo 5, comma 1,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condizione necessaria per potersi avvalere delle procedure semplificate e per accedere ai contributi.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7.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Laboratori.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laboratori pubblici e privati che effettuano attivit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analitiche sull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amianto devono soddisfare i requisiti previsti dal decreto ministeriale 14 maggio 1996 (Normative e metodologie tecniche per gli interventi di bonifica, ivi compresi quelli per rendere innocuo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amianto, previsti dall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art. 5, comma 1, lettera f), della leg</w:t>
      </w:r>
      <w:r>
        <w:rPr>
          <w:rFonts w:ascii="Times New Roman" w:hAnsi="Times New Roman" w:cs="Times New Roman"/>
          <w:color w:val="000000"/>
          <w:sz w:val="20"/>
          <w:szCs w:val="20"/>
        </w:rPr>
        <w:t>ge 27 marzo 1992, n. 257 recante norme relative alla cessazione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impiego dell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amianto), rispondendo a specifici programmi di controllo di qualit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le analisi di amianto nell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aria e in campioni massivi.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Nel PRAL sono definiti i criteri e le moda</w:t>
      </w:r>
      <w:r>
        <w:rPr>
          <w:rFonts w:ascii="Times New Roman" w:hAnsi="Times New Roman" w:cs="Times New Roman"/>
          <w:color w:val="000000"/>
          <w:sz w:val="20"/>
          <w:szCs w:val="20"/>
        </w:rPr>
        <w:t>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accreditamento dei laboratori e per i programmi di controllo di qualit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dei medesimi.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8.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Organismi di controllo.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obiettivo di sovrintendere e monitorare la realizzazione delle azioni previste dal PRAL,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istituito un Nucleo amianto presso la Direzione generale Sanit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La Giunta regionale trasmette annualmente alla Commissione consiliare competente una relazione sullo stato di attuazione del PRAL.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La Giunta regionale, sulla base delle modalit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op</w:t>
      </w:r>
      <w:r>
        <w:rPr>
          <w:rFonts w:ascii="Times New Roman" w:hAnsi="Times New Roman" w:cs="Times New Roman"/>
          <w:color w:val="000000"/>
          <w:sz w:val="20"/>
          <w:szCs w:val="20"/>
        </w:rPr>
        <w:t>erative definite dal PRAL, imposta un piano informativo, rivolto alla popolazione, che contiene, in fasi successive e cadenzate, le modalit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ed i tempi dei censimenti avviati, nonch</w:t>
      </w:r>
      <w:r>
        <w:rPr>
          <w:rFonts w:ascii="Times New Roman" w:hAnsi="Times New Roman" w:cs="Times New Roman"/>
          <w:color w:val="000000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aggiornamento dei dati rilevati e degli interventi effettuati. Tale cam</w:t>
      </w:r>
      <w:r>
        <w:rPr>
          <w:rFonts w:ascii="Times New Roman" w:hAnsi="Times New Roman" w:cs="Times New Roman"/>
          <w:color w:val="000000"/>
          <w:sz w:val="20"/>
          <w:szCs w:val="20"/>
        </w:rPr>
        <w:t>pagna di informazione e sensibilizzazione si avvale di una pluralit</w:t>
      </w:r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strumenti, articolati su base provinciale.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8 bis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Sanzioni e controlli.(10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1.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La mancata comunicazione di cui all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articolo 6, comma 1, comporta, a carico dei soggetti proprietari pubblici e privati inadempienti,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applicazione di una sanzione amministrativ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da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€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100,00 a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€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1.500,00.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La Giunta regionale, con apposita deliberazione, detta criteri per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applicazione delle sanzioni di cui al comma 1, sulla base dei quantitativi presenti e della loro pericolosit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à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, tenuto conto anche dello stato di conservazi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one del materiale.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3.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Il comune, verificata attraverso la ASL competente la presenza di amianto non censito, ingiunge al proprietario di provvedere alla stima dello stato di conservazione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amianto o del materiale contenente amianto secondo un apposito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protocollo della direzione regionale competente. Il proprietario, entro trenta giorni dalla notifica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ingiunzione, trasmette la stima dello stato di conservazione al comune e all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ASL competente per territorio. In caso di inadempimento,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ASL competent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e provvede ad effettuare la stima, rivalendosi sul proprietario per le spese sostenute.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9.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Norma finanziaria.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la concessione dei contributi di cui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articolo 2 e per le azioni informative di cui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articolo 8, comma 3,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autorizzata per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anno 2003 la spesa di </w:t>
      </w:r>
      <w:r>
        <w:rPr>
          <w:rFonts w:ascii="Times New Roman" w:hAnsi="Times New Roman" w:cs="Times New Roman"/>
          <w:color w:val="000000"/>
          <w:sz w:val="20"/>
          <w:szCs w:val="20"/>
        </w:rPr>
        <w:t>€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1.000.000,00.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onere complessivo di </w:t>
      </w:r>
      <w:r>
        <w:rPr>
          <w:rFonts w:ascii="Times New Roman" w:hAnsi="Times New Roman" w:cs="Times New Roman"/>
          <w:color w:val="000000"/>
          <w:sz w:val="20"/>
          <w:szCs w:val="20"/>
        </w:rPr>
        <w:t>€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1.000.000,00 previsto dal comma 1 si provvede con le risorse statali vincolate stanziate all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UPB 3.7.2.0.2.256 "Mantenimento dei livelli uniformi di assistenza" del b</w:t>
      </w:r>
      <w:r>
        <w:rPr>
          <w:rFonts w:ascii="Times New Roman" w:hAnsi="Times New Roman" w:cs="Times New Roman"/>
          <w:color w:val="000000"/>
          <w:sz w:val="20"/>
          <w:szCs w:val="20"/>
        </w:rPr>
        <w:t>ilancio di previsione per l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esercizio finanziario 2003. 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 bis.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introito delle somme provenienti alla Regione dalle sanzioni previste all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articolo 8 bis, si provvede con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UPB 3.4.10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“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Introiti diversi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”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, iscritta allo stato di previsione delle entrate d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el bilancio per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esercizio finanziario 2012 e successivi.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(11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 ter.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Alle spese per le azioni informative di cui all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articolo 8, c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omma 3 si provvede con le risorse derivanti dall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applicazione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articolo 8 bis.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(11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 quater.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Per i restanti oneri derivanti dall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presente legge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è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autorizzata per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anno 2012 la spesa di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€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1.000.000,00.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(11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 </w:t>
      </w:r>
      <w:proofErr w:type="spellStart"/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quinquies</w:t>
      </w:r>
      <w:proofErr w:type="spellEnd"/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Agli oneri di cui al comma 2 quater, si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fa fronte mediante riduzione di competenza e di cassa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UPB 4.2.3.211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“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Fondo per altre spese di investimento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”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iscritta allo stato di previsione delle spese del bilancio per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esercizio finanziario 2012 e successivi.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(11</w:t>
      </w:r>
    </w:p>
    <w:p w:rsidR="00000000" w:rsidRPr="009B43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 </w:t>
      </w:r>
      <w:proofErr w:type="spellStart"/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sexies</w:t>
      </w:r>
      <w:proofErr w:type="spellEnd"/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.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Agli stati di previsione delle spese del bilancio per 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esercizio finanziario 2012 e pluriennale 2012-2014, la dotazione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finanziaria di competenza e di ca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ssa dell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’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UPB 2.1.3.393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“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Realizzazione di nuovi alloggi e riqualificazione del patrimonio </w:t>
      </w:r>
      <w:proofErr w:type="spellStart"/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esistente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”è</w:t>
      </w:r>
      <w:proofErr w:type="spellEnd"/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incrementata di 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>€</w:t>
      </w:r>
      <w:r w:rsidRPr="009B43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1.000.000,00.</w:t>
      </w:r>
      <w:r w:rsidRPr="009B430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(11</w:t>
      </w:r>
      <w:bookmarkStart w:id="0" w:name="_GoBack"/>
      <w:bookmarkEnd w:id="0"/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Art. 10.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65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  <w:t>Entrata in vigore.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La presente legge entra in vigore il giorno successivo alla sua pubblicazione sul Bollettino Ufficiale della Regione Lombardia.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NOTE: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La lettera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stata sostituita dall'art. 1, comma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lett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a)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La lettera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stata aggiunta dall'art. 1, comma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lett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b)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Il comma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stato aggiunto dall'art. 1, comma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lett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c)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L'articolo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stato aggiunto dall'art. 2, comma 1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Il comma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stato aggiunto dall'art. 3, comma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lett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a)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Il numero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stato sostituito dall'art. 4, comma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lett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a)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 Il numero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stato aggiunto dall'art. 4, comma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lett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b)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8. La lettera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stata aggiunta dall'art. 4, comma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ett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c)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9. Si rinvia alla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5 gennaio 2000, n. 1, per il testo coordinato con le presenti modifiche. 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10. L'articolo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stato aggiunto dall'art. 5, comma 1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Vedi anche articolo 7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11. Il comma </w:t>
      </w:r>
      <w:r>
        <w:rPr>
          <w:rFonts w:ascii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stato aggiunto dall'art. 6, comma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lett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a) della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l.r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31 luglio 2012, n. 14. </w:t>
      </w: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500"/>
          <w:sz w:val="20"/>
          <w:szCs w:val="20"/>
        </w:rPr>
      </w:pPr>
    </w:p>
    <w:p w:rsidR="00000000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Il presente testo non ha valore legale ed ufficiale, che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e'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dato dalla sola pubblicazione sul Bollettino ufficiale della Re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gione Lombardia  </w:t>
      </w:r>
    </w:p>
    <w:p w:rsidR="00F408B9" w:rsidRDefault="00F4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F408B9">
      <w:headerReference w:type="default" r:id="rId9"/>
      <w:footerReference w:type="default" r:id="rId10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B9" w:rsidRDefault="00F408B9">
      <w:pPr>
        <w:spacing w:after="0" w:line="240" w:lineRule="auto"/>
      </w:pPr>
      <w:r>
        <w:separator/>
      </w:r>
    </w:p>
  </w:endnote>
  <w:endnote w:type="continuationSeparator" w:id="0">
    <w:p w:rsidR="00F408B9" w:rsidRDefault="00F4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08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B9" w:rsidRDefault="00F408B9">
      <w:pPr>
        <w:spacing w:after="0" w:line="240" w:lineRule="auto"/>
      </w:pPr>
      <w:r>
        <w:separator/>
      </w:r>
    </w:p>
  </w:footnote>
  <w:footnote w:type="continuationSeparator" w:id="0">
    <w:p w:rsidR="00F408B9" w:rsidRDefault="00F4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08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36"/>
    <w:rsid w:val="00607736"/>
    <w:rsid w:val="00986B21"/>
    <w:rsid w:val="009B4300"/>
    <w:rsid w:val="00F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D0C9-ECD3-483D-8D1D-3647253F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regione Lombardia</dc:creator>
  <cp:lastModifiedBy>Caldiroli Marco</cp:lastModifiedBy>
  <cp:revision>4</cp:revision>
  <dcterms:created xsi:type="dcterms:W3CDTF">2018-09-06T11:36:00Z</dcterms:created>
  <dcterms:modified xsi:type="dcterms:W3CDTF">2018-09-06T11:41:00Z</dcterms:modified>
</cp:coreProperties>
</file>