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PRIMA SEZIONE CASO DI CORDELLA E ALTRI c. ITALIA</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(Applicazioni </w:t>
      </w:r>
      <w:proofErr w:type="spellStart"/>
      <w:r w:rsidRPr="00150775">
        <w:rPr>
          <w:rStyle w:val="tlid-translation"/>
          <w:rFonts w:ascii="Arial" w:hAnsi="Arial" w:cs="Arial"/>
          <w:sz w:val="24"/>
          <w:szCs w:val="24"/>
        </w:rPr>
        <w:t>nn</w:t>
      </w:r>
      <w:proofErr w:type="spellEnd"/>
      <w:r w:rsidRPr="00150775">
        <w:rPr>
          <w:rStyle w:val="tlid-translation"/>
          <w:rFonts w:ascii="Arial" w:hAnsi="Arial" w:cs="Arial"/>
          <w:sz w:val="24"/>
          <w:szCs w:val="24"/>
        </w:rPr>
        <w:t>. 54414/13 e 54264/15)</w:t>
      </w:r>
      <w:r>
        <w:rPr>
          <w:rStyle w:val="tlid-translation"/>
          <w:rFonts w:ascii="Arial" w:hAnsi="Arial" w:cs="Arial"/>
          <w:sz w:val="24"/>
          <w:szCs w:val="24"/>
        </w:rPr>
        <w:t xml:space="preserve"> </w:t>
      </w:r>
      <w:r w:rsidRPr="00150775">
        <w:rPr>
          <w:rStyle w:val="tlid-translation"/>
          <w:rFonts w:ascii="Arial" w:hAnsi="Arial" w:cs="Arial"/>
          <w:sz w:val="24"/>
          <w:szCs w:val="24"/>
        </w:rPr>
        <w:t>OFF</w:t>
      </w:r>
      <w:r>
        <w:rPr>
          <w:rStyle w:val="tlid-translation"/>
          <w:rFonts w:ascii="Arial" w:hAnsi="Arial" w:cs="Arial"/>
          <w:sz w:val="24"/>
          <w:szCs w:val="24"/>
        </w:rPr>
        <w:t xml:space="preserve"> </w:t>
      </w:r>
      <w:r w:rsidRPr="00150775">
        <w:rPr>
          <w:rStyle w:val="tlid-translation"/>
          <w:rFonts w:ascii="Arial" w:hAnsi="Arial" w:cs="Arial"/>
          <w:sz w:val="24"/>
          <w:szCs w:val="24"/>
        </w:rPr>
        <w:t>STRASBURGO</w:t>
      </w:r>
      <w:r>
        <w:rPr>
          <w:rStyle w:val="tlid-translation"/>
          <w:rFonts w:ascii="Arial" w:hAnsi="Arial" w:cs="Arial"/>
          <w:sz w:val="24"/>
          <w:szCs w:val="24"/>
        </w:rPr>
        <w:t xml:space="preserve"> </w:t>
      </w:r>
      <w:r w:rsidRPr="00150775">
        <w:rPr>
          <w:rStyle w:val="tlid-translation"/>
          <w:rFonts w:ascii="Arial" w:hAnsi="Arial" w:cs="Arial"/>
          <w:sz w:val="24"/>
          <w:szCs w:val="24"/>
        </w:rPr>
        <w:t>24 gennaio 2019</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Questa sentenza diventerà definitiva alle condizioni definite nell'articolo 44 § 2 del</w:t>
      </w:r>
      <w:r w:rsidRPr="00150775">
        <w:rPr>
          <w:rFonts w:ascii="Arial" w:hAnsi="Arial" w:cs="Arial"/>
          <w:sz w:val="24"/>
          <w:szCs w:val="24"/>
        </w:rPr>
        <w:br/>
      </w:r>
      <w:r w:rsidRPr="00150775">
        <w:rPr>
          <w:rStyle w:val="tlid-translation"/>
          <w:rFonts w:ascii="Arial" w:hAnsi="Arial" w:cs="Arial"/>
          <w:sz w:val="24"/>
          <w:szCs w:val="24"/>
        </w:rPr>
        <w:t>Convenzione. Può subire ritocchi di forma.</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Nel caso di Cordella et al. Italia</w:t>
      </w:r>
    </w:p>
    <w:p w:rsidR="005F1DFD" w:rsidRDefault="005F1DFD" w:rsidP="005F1DFD">
      <w:pPr>
        <w:spacing w:after="120"/>
        <w:rPr>
          <w:rStyle w:val="tlid-translation"/>
          <w:rFonts w:ascii="Arial" w:hAnsi="Arial" w:cs="Arial"/>
          <w:sz w:val="24"/>
          <w:szCs w:val="24"/>
        </w:rPr>
      </w:pPr>
      <w:r w:rsidRPr="00150775">
        <w:rPr>
          <w:rStyle w:val="tlid-translation"/>
          <w:rFonts w:ascii="Arial" w:hAnsi="Arial" w:cs="Arial"/>
          <w:sz w:val="24"/>
          <w:szCs w:val="24"/>
        </w:rPr>
        <w:t>La Corte europea dei diritti dell'uomo (prima sezione), seduta in una stanza composta da:</w:t>
      </w:r>
      <w:r w:rsidRPr="00150775">
        <w:rPr>
          <w:rFonts w:ascii="Arial" w:hAnsi="Arial" w:cs="Arial"/>
          <w:sz w:val="24"/>
          <w:szCs w:val="24"/>
        </w:rPr>
        <w:br/>
      </w:r>
      <w:proofErr w:type="spellStart"/>
      <w:r w:rsidRPr="00150775">
        <w:rPr>
          <w:rStyle w:val="tlid-translation"/>
          <w:rFonts w:ascii="Arial" w:hAnsi="Arial" w:cs="Arial"/>
          <w:sz w:val="24"/>
          <w:szCs w:val="24"/>
        </w:rPr>
        <w:t>Linos</w:t>
      </w:r>
      <w:proofErr w:type="spellEnd"/>
      <w:r w:rsidRPr="00150775">
        <w:rPr>
          <w:rStyle w:val="tlid-translation"/>
          <w:rFonts w:ascii="Arial" w:hAnsi="Arial" w:cs="Arial"/>
          <w:sz w:val="24"/>
          <w:szCs w:val="24"/>
        </w:rPr>
        <w:t xml:space="preserve">-Alexandre </w:t>
      </w:r>
      <w:proofErr w:type="spellStart"/>
      <w:r w:rsidRPr="00150775">
        <w:rPr>
          <w:rStyle w:val="tlid-translation"/>
          <w:rFonts w:ascii="Arial" w:hAnsi="Arial" w:cs="Arial"/>
          <w:sz w:val="24"/>
          <w:szCs w:val="24"/>
        </w:rPr>
        <w:t>Sicilianos</w:t>
      </w:r>
      <w:proofErr w:type="spellEnd"/>
      <w:r w:rsidRPr="00150775">
        <w:rPr>
          <w:rStyle w:val="tlid-translation"/>
          <w:rFonts w:ascii="Arial" w:hAnsi="Arial" w:cs="Arial"/>
          <w:sz w:val="24"/>
          <w:szCs w:val="24"/>
        </w:rPr>
        <w:t>, Presidente,</w:t>
      </w:r>
      <w:r w:rsidRPr="00150775">
        <w:rPr>
          <w:rFonts w:ascii="Arial" w:hAnsi="Arial" w:cs="Arial"/>
          <w:sz w:val="24"/>
          <w:szCs w:val="24"/>
        </w:rPr>
        <w:br/>
      </w:r>
      <w:r w:rsidRPr="00150775">
        <w:rPr>
          <w:rStyle w:val="tlid-translation"/>
          <w:rFonts w:ascii="Arial" w:hAnsi="Arial" w:cs="Arial"/>
          <w:sz w:val="24"/>
          <w:szCs w:val="24"/>
        </w:rPr>
        <w:t xml:space="preserve">Guido </w:t>
      </w:r>
      <w:proofErr w:type="spellStart"/>
      <w:r w:rsidRPr="00150775">
        <w:rPr>
          <w:rStyle w:val="tlid-translation"/>
          <w:rFonts w:ascii="Arial" w:hAnsi="Arial" w:cs="Arial"/>
          <w:sz w:val="24"/>
          <w:szCs w:val="24"/>
        </w:rPr>
        <w:t>Raimondi</w:t>
      </w:r>
      <w:proofErr w:type="spellEnd"/>
      <w:r w:rsidRPr="00150775">
        <w:rPr>
          <w:rStyle w:val="tlid-translation"/>
          <w:rFonts w:ascii="Arial" w:hAnsi="Arial" w:cs="Arial"/>
          <w:sz w:val="24"/>
          <w:szCs w:val="24"/>
        </w:rPr>
        <w:t>,</w:t>
      </w:r>
      <w:r w:rsidRPr="00150775">
        <w:rPr>
          <w:rFonts w:ascii="Arial" w:hAnsi="Arial" w:cs="Arial"/>
          <w:sz w:val="24"/>
          <w:szCs w:val="24"/>
        </w:rPr>
        <w:br/>
      </w:r>
      <w:r w:rsidRPr="00150775">
        <w:rPr>
          <w:rStyle w:val="tlid-translation"/>
          <w:rFonts w:ascii="Arial" w:hAnsi="Arial" w:cs="Arial"/>
          <w:sz w:val="24"/>
          <w:szCs w:val="24"/>
        </w:rPr>
        <w:t xml:space="preserve">Ledi </w:t>
      </w:r>
      <w:proofErr w:type="spellStart"/>
      <w:r w:rsidRPr="00150775">
        <w:rPr>
          <w:rStyle w:val="tlid-translation"/>
          <w:rFonts w:ascii="Arial" w:hAnsi="Arial" w:cs="Arial"/>
          <w:sz w:val="24"/>
          <w:szCs w:val="24"/>
        </w:rPr>
        <w:t>Bianku</w:t>
      </w:r>
      <w:proofErr w:type="spellEnd"/>
      <w:r w:rsidRPr="00150775">
        <w:rPr>
          <w:rStyle w:val="tlid-translation"/>
          <w:rFonts w:ascii="Arial" w:hAnsi="Arial" w:cs="Arial"/>
          <w:sz w:val="24"/>
          <w:szCs w:val="24"/>
        </w:rPr>
        <w:t>,</w:t>
      </w:r>
      <w:r w:rsidRPr="00150775">
        <w:rPr>
          <w:rFonts w:ascii="Arial" w:hAnsi="Arial" w:cs="Arial"/>
          <w:sz w:val="24"/>
          <w:szCs w:val="24"/>
        </w:rPr>
        <w:br/>
      </w:r>
      <w:proofErr w:type="spellStart"/>
      <w:r w:rsidRPr="00150775">
        <w:rPr>
          <w:rStyle w:val="tlid-translation"/>
          <w:rFonts w:ascii="Arial" w:hAnsi="Arial" w:cs="Arial"/>
          <w:sz w:val="24"/>
          <w:szCs w:val="24"/>
        </w:rPr>
        <w:t>Aleš</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Pejchal</w:t>
      </w:r>
      <w:proofErr w:type="spellEnd"/>
      <w:r w:rsidRPr="00150775">
        <w:rPr>
          <w:rStyle w:val="tlid-translation"/>
          <w:rFonts w:ascii="Arial" w:hAnsi="Arial" w:cs="Arial"/>
          <w:sz w:val="24"/>
          <w:szCs w:val="24"/>
        </w:rPr>
        <w:t>,</w:t>
      </w:r>
      <w:r w:rsidRPr="00150775">
        <w:rPr>
          <w:rFonts w:ascii="Arial" w:hAnsi="Arial" w:cs="Arial"/>
          <w:sz w:val="24"/>
          <w:szCs w:val="24"/>
        </w:rPr>
        <w:br/>
      </w:r>
      <w:proofErr w:type="spellStart"/>
      <w:r w:rsidRPr="00150775">
        <w:rPr>
          <w:rStyle w:val="tlid-translation"/>
          <w:rFonts w:ascii="Arial" w:hAnsi="Arial" w:cs="Arial"/>
          <w:sz w:val="24"/>
          <w:szCs w:val="24"/>
        </w:rPr>
        <w:t>Krzysztof</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Wojtyczek</w:t>
      </w:r>
      <w:proofErr w:type="spellEnd"/>
      <w:r w:rsidRPr="00150775">
        <w:rPr>
          <w:rStyle w:val="tlid-translation"/>
          <w:rFonts w:ascii="Arial" w:hAnsi="Arial" w:cs="Arial"/>
          <w:sz w:val="24"/>
          <w:szCs w:val="24"/>
        </w:rPr>
        <w:t>,</w:t>
      </w:r>
      <w:r w:rsidRPr="00150775">
        <w:rPr>
          <w:rFonts w:ascii="Arial" w:hAnsi="Arial" w:cs="Arial"/>
          <w:sz w:val="24"/>
          <w:szCs w:val="24"/>
        </w:rPr>
        <w:br/>
      </w:r>
      <w:r w:rsidRPr="00150775">
        <w:rPr>
          <w:rStyle w:val="tlid-translation"/>
          <w:rFonts w:ascii="Arial" w:hAnsi="Arial" w:cs="Arial"/>
          <w:sz w:val="24"/>
          <w:szCs w:val="24"/>
        </w:rPr>
        <w:t xml:space="preserve">Tim </w:t>
      </w:r>
      <w:proofErr w:type="spellStart"/>
      <w:r w:rsidRPr="00150775">
        <w:rPr>
          <w:rStyle w:val="tlid-translation"/>
          <w:rFonts w:ascii="Arial" w:hAnsi="Arial" w:cs="Arial"/>
          <w:sz w:val="24"/>
          <w:szCs w:val="24"/>
        </w:rPr>
        <w:t>Eicke</w:t>
      </w:r>
      <w:proofErr w:type="spellEnd"/>
      <w:r w:rsidRPr="00150775">
        <w:rPr>
          <w:rStyle w:val="tlid-translation"/>
          <w:rFonts w:ascii="Arial" w:hAnsi="Arial" w:cs="Arial"/>
          <w:sz w:val="24"/>
          <w:szCs w:val="24"/>
        </w:rPr>
        <w:t>,</w:t>
      </w:r>
      <w:r w:rsidRPr="00150775">
        <w:rPr>
          <w:rFonts w:ascii="Arial" w:hAnsi="Arial" w:cs="Arial"/>
          <w:sz w:val="24"/>
          <w:szCs w:val="24"/>
        </w:rPr>
        <w:br/>
      </w:r>
      <w:r w:rsidRPr="00150775">
        <w:rPr>
          <w:rStyle w:val="tlid-translation"/>
          <w:rFonts w:ascii="Arial" w:hAnsi="Arial" w:cs="Arial"/>
          <w:sz w:val="24"/>
          <w:szCs w:val="24"/>
        </w:rPr>
        <w:t>Gilberto Felici, giudici,</w:t>
      </w:r>
      <w:r w:rsidRPr="00150775">
        <w:rPr>
          <w:rFonts w:ascii="Arial" w:hAnsi="Arial" w:cs="Arial"/>
          <w:sz w:val="24"/>
          <w:szCs w:val="24"/>
        </w:rPr>
        <w:br/>
      </w:r>
      <w:r w:rsidRPr="00150775">
        <w:rPr>
          <w:rStyle w:val="tlid-translation"/>
          <w:rFonts w:ascii="Arial" w:hAnsi="Arial" w:cs="Arial"/>
          <w:sz w:val="24"/>
          <w:szCs w:val="24"/>
        </w:rPr>
        <w:t xml:space="preserve">e Renata </w:t>
      </w:r>
      <w:proofErr w:type="spellStart"/>
      <w:r w:rsidRPr="00150775">
        <w:rPr>
          <w:rStyle w:val="tlid-translation"/>
          <w:rFonts w:ascii="Arial" w:hAnsi="Arial" w:cs="Arial"/>
          <w:sz w:val="24"/>
          <w:szCs w:val="24"/>
        </w:rPr>
        <w:t>Degener</w:t>
      </w:r>
      <w:proofErr w:type="spellEnd"/>
      <w:r w:rsidRPr="00150775">
        <w:rPr>
          <w:rStyle w:val="tlid-translation"/>
          <w:rFonts w:ascii="Arial" w:hAnsi="Arial" w:cs="Arial"/>
          <w:sz w:val="24"/>
          <w:szCs w:val="24"/>
        </w:rPr>
        <w:t>, vice segretario della sezione,</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Dopo aver deliberato nella camera di consiglio il 18 dicembre 2018,</w:t>
      </w:r>
      <w:r>
        <w:rPr>
          <w:rStyle w:val="tlid-translation"/>
          <w:rFonts w:ascii="Arial" w:hAnsi="Arial" w:cs="Arial"/>
          <w:sz w:val="24"/>
          <w:szCs w:val="24"/>
        </w:rPr>
        <w:t xml:space="preserve"> </w:t>
      </w:r>
      <w:r w:rsidRPr="00150775">
        <w:rPr>
          <w:rStyle w:val="tlid-translation"/>
          <w:rFonts w:ascii="Arial" w:hAnsi="Arial" w:cs="Arial"/>
          <w:sz w:val="24"/>
          <w:szCs w:val="24"/>
        </w:rPr>
        <w:t>Prende il seguente giudizio, adottato in questa data:</w:t>
      </w:r>
    </w:p>
    <w:p w:rsidR="005F1DFD" w:rsidRDefault="005F1DFD" w:rsidP="005F1DFD">
      <w:pPr>
        <w:spacing w:after="120"/>
        <w:jc w:val="both"/>
        <w:rPr>
          <w:rStyle w:val="tlid-translation"/>
          <w:rFonts w:ascii="Arial" w:hAnsi="Arial" w:cs="Arial"/>
          <w:sz w:val="24"/>
          <w:szCs w:val="24"/>
        </w:rPr>
      </w:pPr>
    </w:p>
    <w:p w:rsidR="005F1DFD" w:rsidRDefault="005F1DFD" w:rsidP="005F1DFD">
      <w:pPr>
        <w:spacing w:after="120"/>
        <w:jc w:val="both"/>
        <w:rPr>
          <w:rStyle w:val="tlid-translation"/>
          <w:rFonts w:ascii="Arial" w:hAnsi="Arial" w:cs="Arial"/>
          <w:sz w:val="24"/>
          <w:szCs w:val="24"/>
        </w:rPr>
      </w:pPr>
      <w:r>
        <w:rPr>
          <w:rStyle w:val="tlid-translation"/>
          <w:rFonts w:ascii="Arial" w:hAnsi="Arial" w:cs="Arial"/>
          <w:sz w:val="24"/>
          <w:szCs w:val="24"/>
        </w:rPr>
        <w:t>(OMISSIS)</w:t>
      </w:r>
      <w:bookmarkStart w:id="0" w:name="_GoBack"/>
      <w:bookmarkEnd w:id="0"/>
    </w:p>
    <w:p w:rsidR="005F1DFD" w:rsidRDefault="005F1DFD" w:rsidP="005F1DFD">
      <w:pPr>
        <w:spacing w:after="120"/>
        <w:jc w:val="both"/>
        <w:rPr>
          <w:rStyle w:val="tlid-translation"/>
          <w:rFonts w:ascii="Arial" w:hAnsi="Arial" w:cs="Arial"/>
          <w:sz w:val="24"/>
          <w:szCs w:val="24"/>
        </w:rPr>
      </w:pPr>
    </w:p>
    <w:p w:rsidR="005F1DFD" w:rsidRDefault="005F1DFD" w:rsidP="005F1DFD">
      <w:pPr>
        <w:spacing w:after="120"/>
        <w:jc w:val="both"/>
        <w:rPr>
          <w:rStyle w:val="tlid-translation"/>
          <w:rFonts w:ascii="Arial" w:hAnsi="Arial" w:cs="Arial"/>
          <w:b/>
          <w:sz w:val="24"/>
          <w:szCs w:val="24"/>
        </w:rPr>
      </w:pPr>
      <w:r w:rsidRPr="000F3BE4">
        <w:rPr>
          <w:rStyle w:val="tlid-translation"/>
          <w:rFonts w:ascii="Arial" w:hAnsi="Arial" w:cs="Arial"/>
          <w:b/>
          <w:sz w:val="24"/>
          <w:szCs w:val="24"/>
        </w:rPr>
        <w:t>(c) La valutazione della Corte</w:t>
      </w:r>
    </w:p>
    <w:p w:rsidR="005F1DFD" w:rsidRDefault="005F1DFD" w:rsidP="005F1DFD">
      <w:pPr>
        <w:spacing w:after="120"/>
        <w:jc w:val="both"/>
        <w:rPr>
          <w:rStyle w:val="tlid-translation"/>
          <w:rFonts w:ascii="Arial" w:hAnsi="Arial" w:cs="Arial"/>
          <w:sz w:val="24"/>
          <w:szCs w:val="24"/>
        </w:rPr>
      </w:pPr>
    </w:p>
    <w:p w:rsidR="005F1DFD" w:rsidRDefault="005F1DFD" w:rsidP="005F1DFD">
      <w:pPr>
        <w:spacing w:after="120"/>
        <w:jc w:val="both"/>
        <w:rPr>
          <w:rStyle w:val="tlid-translation"/>
          <w:rFonts w:ascii="Arial" w:hAnsi="Arial" w:cs="Arial"/>
          <w:b/>
          <w:sz w:val="24"/>
          <w:szCs w:val="24"/>
        </w:rPr>
      </w:pPr>
      <w:r w:rsidRPr="000F3BE4">
        <w:rPr>
          <w:rStyle w:val="tlid-translation"/>
          <w:rFonts w:ascii="Arial" w:hAnsi="Arial" w:cs="Arial"/>
          <w:b/>
          <w:sz w:val="24"/>
          <w:szCs w:val="24"/>
        </w:rPr>
        <w:t>i. Principi generali</w:t>
      </w:r>
    </w:p>
    <w:p w:rsidR="005F1DFD" w:rsidRDefault="005F1DFD" w:rsidP="005F1DFD">
      <w:pPr>
        <w:spacing w:after="120"/>
        <w:jc w:val="both"/>
        <w:rPr>
          <w:rStyle w:val="tlid-translation"/>
          <w:rFonts w:ascii="Arial" w:hAnsi="Arial" w:cs="Arial"/>
          <w:sz w:val="24"/>
          <w:szCs w:val="24"/>
        </w:rPr>
      </w:pPr>
      <w:r w:rsidRPr="00EC2D06">
        <w:rPr>
          <w:rStyle w:val="tlid-translation"/>
          <w:rFonts w:ascii="Arial" w:hAnsi="Arial" w:cs="Arial"/>
          <w:sz w:val="24"/>
          <w:szCs w:val="24"/>
        </w:rPr>
        <w:t>157. La Corte ricorda che gravi danni all'ambiente possono influire sul benessere degli individui e privarli del godimento della loro residenza in modo tale da pregiudicare la loro vita privata  (López Ostra v. Spagna, 9 dicembre 1994, serie A n. 303-C, § 51, e Guerra e altri c. Regno Unito, n. Italia 19 febbraio 1998, § 60, Reports 1998-I). A tale riguardo, la Corte ricorda anche che nei casi in cui la nozione soglia di gravità è stata specificamente esaminata in materia di tutela ambientale, la Corte ha ritenuto che un</w:t>
      </w:r>
      <w:r>
        <w:rPr>
          <w:rStyle w:val="tlid-translation"/>
          <w:rFonts w:ascii="Arial" w:hAnsi="Arial" w:cs="Arial"/>
          <w:sz w:val="24"/>
          <w:szCs w:val="24"/>
        </w:rPr>
        <w:t xml:space="preserve"> danno considerato nell’ambito dell</w:t>
      </w:r>
      <w:r w:rsidRPr="00150775">
        <w:rPr>
          <w:rStyle w:val="tlid-translation"/>
          <w:rFonts w:ascii="Arial" w:hAnsi="Arial" w:cs="Arial"/>
          <w:sz w:val="24"/>
          <w:szCs w:val="24"/>
        </w:rPr>
        <w:t xml:space="preserve">'articolo 8 può insorgere se un rischio ecologico raggiunge un livello di gravità </w:t>
      </w:r>
      <w:r>
        <w:rPr>
          <w:rStyle w:val="tlid-translation"/>
          <w:rFonts w:ascii="Arial" w:hAnsi="Arial" w:cs="Arial"/>
          <w:sz w:val="24"/>
          <w:szCs w:val="24"/>
        </w:rPr>
        <w:t xml:space="preserve">tale da </w:t>
      </w:r>
      <w:r w:rsidRPr="00150775">
        <w:rPr>
          <w:rStyle w:val="tlid-translation"/>
          <w:rFonts w:ascii="Arial" w:hAnsi="Arial" w:cs="Arial"/>
          <w:sz w:val="24"/>
          <w:szCs w:val="24"/>
        </w:rPr>
        <w:t>ridurre significativamente la capacità del richiedente di godersi la propria casa</w:t>
      </w:r>
      <w:r>
        <w:rPr>
          <w:rStyle w:val="tlid-translation"/>
          <w:rFonts w:ascii="Arial" w:hAnsi="Arial" w:cs="Arial"/>
          <w:sz w:val="24"/>
          <w:szCs w:val="24"/>
        </w:rPr>
        <w:t xml:space="preserve">, </w:t>
      </w:r>
      <w:r w:rsidRPr="00150775">
        <w:rPr>
          <w:rStyle w:val="tlid-translation"/>
          <w:rFonts w:ascii="Arial" w:hAnsi="Arial" w:cs="Arial"/>
          <w:sz w:val="24"/>
          <w:szCs w:val="24"/>
        </w:rPr>
        <w:t>la sua vita privata o familiare. La valutazione di questo livello minimo in questo</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il tipo di </w:t>
      </w:r>
      <w:r>
        <w:rPr>
          <w:rStyle w:val="tlid-translation"/>
          <w:rFonts w:ascii="Arial" w:hAnsi="Arial" w:cs="Arial"/>
          <w:sz w:val="24"/>
          <w:szCs w:val="24"/>
        </w:rPr>
        <w:t xml:space="preserve">questione </w:t>
      </w:r>
      <w:r w:rsidRPr="00150775">
        <w:rPr>
          <w:rStyle w:val="tlid-translation"/>
          <w:rFonts w:ascii="Arial" w:hAnsi="Arial" w:cs="Arial"/>
          <w:sz w:val="24"/>
          <w:szCs w:val="24"/>
        </w:rPr>
        <w:t>dipende dall'in</w:t>
      </w:r>
      <w:r>
        <w:rPr>
          <w:rStyle w:val="tlid-translation"/>
          <w:rFonts w:ascii="Arial" w:hAnsi="Arial" w:cs="Arial"/>
          <w:sz w:val="24"/>
          <w:szCs w:val="24"/>
        </w:rPr>
        <w:t>sieme dei danni connessi con la causa degli stessi</w:t>
      </w:r>
      <w:r w:rsidRPr="00150775">
        <w:rPr>
          <w:rStyle w:val="tlid-translation"/>
          <w:rFonts w:ascii="Arial" w:hAnsi="Arial" w:cs="Arial"/>
          <w:sz w:val="24"/>
          <w:szCs w:val="24"/>
        </w:rPr>
        <w:t xml:space="preserve">, in particolare </w:t>
      </w:r>
      <w:r>
        <w:rPr>
          <w:rStyle w:val="tlid-translation"/>
          <w:rFonts w:ascii="Arial" w:hAnsi="Arial" w:cs="Arial"/>
          <w:sz w:val="24"/>
          <w:szCs w:val="24"/>
        </w:rPr>
        <w:t xml:space="preserve">dalla </w:t>
      </w:r>
      <w:r w:rsidRPr="00150775">
        <w:rPr>
          <w:rStyle w:val="tlid-translation"/>
          <w:rFonts w:ascii="Arial" w:hAnsi="Arial" w:cs="Arial"/>
          <w:sz w:val="24"/>
          <w:szCs w:val="24"/>
        </w:rPr>
        <w:t>intensità e la durata dei fastidi e de</w:t>
      </w:r>
      <w:r>
        <w:rPr>
          <w:rStyle w:val="tlid-translation"/>
          <w:rFonts w:ascii="Arial" w:hAnsi="Arial" w:cs="Arial"/>
          <w:sz w:val="24"/>
          <w:szCs w:val="24"/>
        </w:rPr>
        <w:t>lle</w:t>
      </w:r>
      <w:r w:rsidRPr="00150775">
        <w:rPr>
          <w:rStyle w:val="tlid-translation"/>
          <w:rFonts w:ascii="Arial" w:hAnsi="Arial" w:cs="Arial"/>
          <w:sz w:val="24"/>
          <w:szCs w:val="24"/>
        </w:rPr>
        <w:t xml:space="preserve"> loro conseguenze fisiche o psicologiche sulla salute o sulla qualità della vita la persona interessata (</w:t>
      </w:r>
      <w:proofErr w:type="spellStart"/>
      <w:r w:rsidRPr="00150775">
        <w:rPr>
          <w:rStyle w:val="tlid-translation"/>
          <w:rFonts w:ascii="Arial" w:hAnsi="Arial" w:cs="Arial"/>
          <w:sz w:val="24"/>
          <w:szCs w:val="24"/>
        </w:rPr>
        <w:t>Fadeyeva</w:t>
      </w:r>
      <w:proofErr w:type="spellEnd"/>
      <w:r w:rsidRPr="00150775">
        <w:rPr>
          <w:rStyle w:val="tlid-translation"/>
          <w:rFonts w:ascii="Arial" w:hAnsi="Arial" w:cs="Arial"/>
          <w:sz w:val="24"/>
          <w:szCs w:val="24"/>
        </w:rPr>
        <w:t xml:space="preserve">, citata sopra, §§ 68 e 69, </w:t>
      </w:r>
      <w:proofErr w:type="spellStart"/>
      <w:r w:rsidRPr="00150775">
        <w:rPr>
          <w:rStyle w:val="tlid-translation"/>
          <w:rFonts w:ascii="Arial" w:hAnsi="Arial" w:cs="Arial"/>
          <w:sz w:val="24"/>
          <w:szCs w:val="24"/>
        </w:rPr>
        <w:t>Dubetska</w:t>
      </w:r>
      <w:proofErr w:type="spellEnd"/>
      <w:r w:rsidRPr="00150775">
        <w:rPr>
          <w:rStyle w:val="tlid-translation"/>
          <w:rFonts w:ascii="Arial" w:hAnsi="Arial" w:cs="Arial"/>
          <w:sz w:val="24"/>
          <w:szCs w:val="24"/>
        </w:rPr>
        <w:t xml:space="preserve"> e altri c. Ucraina, 30499/03, § 105, 10 febbraio 2011, e </w:t>
      </w:r>
      <w:proofErr w:type="spellStart"/>
      <w:r w:rsidRPr="00150775">
        <w:rPr>
          <w:rStyle w:val="tlid-translation"/>
          <w:rFonts w:ascii="Arial" w:hAnsi="Arial" w:cs="Arial"/>
          <w:sz w:val="24"/>
          <w:szCs w:val="24"/>
        </w:rPr>
        <w:t>Grimkovskaya</w:t>
      </w:r>
      <w:proofErr w:type="spellEnd"/>
      <w:r w:rsidRPr="00150775">
        <w:rPr>
          <w:rStyle w:val="tlid-translation"/>
          <w:rFonts w:ascii="Arial" w:hAnsi="Arial" w:cs="Arial"/>
          <w:sz w:val="24"/>
          <w:szCs w:val="24"/>
        </w:rPr>
        <w:t xml:space="preserve"> c. Russia, n. Ucraina, No. 38182/03, § 58, 21 luglio 2011).</w:t>
      </w:r>
      <w:r w:rsidRPr="00150775">
        <w:rPr>
          <w:rFonts w:ascii="Arial" w:hAnsi="Arial" w:cs="Arial"/>
          <w:sz w:val="24"/>
          <w:szCs w:val="24"/>
        </w:rPr>
        <w:br/>
      </w:r>
      <w:r w:rsidRPr="00150775">
        <w:rPr>
          <w:rStyle w:val="tlid-translation"/>
          <w:rFonts w:ascii="Arial" w:hAnsi="Arial" w:cs="Arial"/>
          <w:sz w:val="24"/>
          <w:szCs w:val="24"/>
        </w:rPr>
        <w:t>158. L'articolo 8 non si limita a obbligare lo Stato ad astenersi d</w:t>
      </w:r>
      <w:r>
        <w:rPr>
          <w:rStyle w:val="tlid-translation"/>
          <w:rFonts w:ascii="Arial" w:hAnsi="Arial" w:cs="Arial"/>
          <w:sz w:val="24"/>
          <w:szCs w:val="24"/>
        </w:rPr>
        <w:t xml:space="preserve">a interferenze arbitrarie : a </w:t>
      </w:r>
      <w:r>
        <w:rPr>
          <w:rStyle w:val="tlid-translation"/>
          <w:rFonts w:ascii="Arial" w:hAnsi="Arial" w:cs="Arial"/>
          <w:sz w:val="24"/>
          <w:szCs w:val="24"/>
        </w:rPr>
        <w:lastRenderedPageBreak/>
        <w:t>questo obbligo “</w:t>
      </w:r>
      <w:r w:rsidRPr="00150775">
        <w:rPr>
          <w:rStyle w:val="tlid-translation"/>
          <w:rFonts w:ascii="Arial" w:hAnsi="Arial" w:cs="Arial"/>
          <w:sz w:val="24"/>
          <w:szCs w:val="24"/>
        </w:rPr>
        <w:t>negativo</w:t>
      </w:r>
      <w:r>
        <w:rPr>
          <w:rStyle w:val="tlid-translation"/>
          <w:rFonts w:ascii="Arial" w:hAnsi="Arial" w:cs="Arial"/>
          <w:sz w:val="24"/>
          <w:szCs w:val="24"/>
        </w:rPr>
        <w:t xml:space="preserve">” possono essere aggiunti </w:t>
      </w:r>
      <w:r w:rsidRPr="00150775">
        <w:rPr>
          <w:rStyle w:val="tlid-translation"/>
          <w:rFonts w:ascii="Arial" w:hAnsi="Arial" w:cs="Arial"/>
          <w:sz w:val="24"/>
          <w:szCs w:val="24"/>
        </w:rPr>
        <w:t xml:space="preserve">obblighi positivi inerenti al rispetto effettivo della </w:t>
      </w:r>
      <w:r>
        <w:rPr>
          <w:rStyle w:val="tlid-translation"/>
          <w:rFonts w:ascii="Arial" w:hAnsi="Arial" w:cs="Arial"/>
          <w:sz w:val="24"/>
          <w:szCs w:val="24"/>
        </w:rPr>
        <w:t>vita privata</w:t>
      </w:r>
      <w:r w:rsidRPr="00150775">
        <w:rPr>
          <w:rStyle w:val="tlid-translation"/>
          <w:rFonts w:ascii="Arial" w:hAnsi="Arial" w:cs="Arial"/>
          <w:sz w:val="24"/>
          <w:szCs w:val="24"/>
        </w:rPr>
        <w:t xml:space="preserve">. In </w:t>
      </w:r>
      <w:proofErr w:type="spellStart"/>
      <w:r w:rsidRPr="00150775">
        <w:rPr>
          <w:rStyle w:val="tlid-translation"/>
          <w:rFonts w:ascii="Arial" w:hAnsi="Arial" w:cs="Arial"/>
          <w:sz w:val="24"/>
          <w:szCs w:val="24"/>
        </w:rPr>
        <w:t>In</w:t>
      </w:r>
      <w:proofErr w:type="spellEnd"/>
      <w:r w:rsidRPr="00150775">
        <w:rPr>
          <w:rStyle w:val="tlid-translation"/>
          <w:rFonts w:ascii="Arial" w:hAnsi="Arial" w:cs="Arial"/>
          <w:sz w:val="24"/>
          <w:szCs w:val="24"/>
        </w:rPr>
        <w:t xml:space="preserve"> ogni caso, è necessario affrontare la questione dal punto di vista dell'obbligo </w:t>
      </w:r>
      <w:r>
        <w:rPr>
          <w:rStyle w:val="tlid-translation"/>
          <w:rFonts w:ascii="Arial" w:hAnsi="Arial" w:cs="Arial"/>
          <w:sz w:val="24"/>
          <w:szCs w:val="24"/>
        </w:rPr>
        <w:t xml:space="preserve">di uno </w:t>
      </w:r>
      <w:r w:rsidRPr="00150775">
        <w:rPr>
          <w:rStyle w:val="tlid-translation"/>
          <w:rFonts w:ascii="Arial" w:hAnsi="Arial" w:cs="Arial"/>
          <w:sz w:val="24"/>
          <w:szCs w:val="24"/>
        </w:rPr>
        <w:t>Stato ad adottare misure ragionevoli e adeguate a proteggere i diritti della persona, ai sensi del primo comma dell'articolo  8, o</w:t>
      </w:r>
      <w:r>
        <w:rPr>
          <w:rStyle w:val="tlid-translation"/>
          <w:rFonts w:ascii="Arial" w:hAnsi="Arial" w:cs="Arial"/>
          <w:sz w:val="24"/>
          <w:szCs w:val="24"/>
        </w:rPr>
        <w:t xml:space="preserve">ppure, in caso di ingerenza </w:t>
      </w:r>
      <w:r w:rsidRPr="00150775">
        <w:rPr>
          <w:rStyle w:val="tlid-translation"/>
          <w:rFonts w:ascii="Arial" w:hAnsi="Arial" w:cs="Arial"/>
          <w:sz w:val="24"/>
          <w:szCs w:val="24"/>
        </w:rPr>
        <w:t xml:space="preserve">di un'autorità pubblica, </w:t>
      </w:r>
      <w:r>
        <w:rPr>
          <w:rStyle w:val="tlid-translation"/>
          <w:rFonts w:ascii="Arial" w:hAnsi="Arial" w:cs="Arial"/>
          <w:sz w:val="24"/>
          <w:szCs w:val="24"/>
        </w:rPr>
        <w:t xml:space="preserve">possono essere giustificati i principi espressi nel </w:t>
      </w:r>
      <w:r w:rsidRPr="00150775">
        <w:rPr>
          <w:rStyle w:val="tlid-translation"/>
          <w:rFonts w:ascii="Arial" w:hAnsi="Arial" w:cs="Arial"/>
          <w:sz w:val="24"/>
          <w:szCs w:val="24"/>
        </w:rPr>
        <w:t xml:space="preserve">secondo paragrafo, </w:t>
      </w:r>
      <w:r>
        <w:rPr>
          <w:rStyle w:val="tlid-translation"/>
          <w:rFonts w:ascii="Arial" w:hAnsi="Arial" w:cs="Arial"/>
          <w:sz w:val="24"/>
          <w:szCs w:val="24"/>
        </w:rPr>
        <w:t xml:space="preserve">in tal caso </w:t>
      </w:r>
      <w:r w:rsidRPr="00150775">
        <w:rPr>
          <w:rStyle w:val="tlid-translation"/>
          <w:rFonts w:ascii="Arial" w:hAnsi="Arial" w:cs="Arial"/>
          <w:sz w:val="24"/>
          <w:szCs w:val="24"/>
        </w:rPr>
        <w:t>i principi applicabili sono simili. In entrambi i casi, occorre trovare il giusto equilibrio tra gli interessi concorrenti dell'individuo e della società nel suo complesso</w:t>
      </w:r>
      <w:r>
        <w:rPr>
          <w:rStyle w:val="tlid-translation"/>
          <w:rFonts w:ascii="Arial" w:hAnsi="Arial" w:cs="Arial"/>
          <w:sz w:val="24"/>
          <w:szCs w:val="24"/>
        </w:rPr>
        <w:t xml:space="preserve"> nonché del</w:t>
      </w:r>
      <w:r w:rsidRPr="00150775">
        <w:rPr>
          <w:rStyle w:val="tlid-translation"/>
          <w:rFonts w:ascii="Arial" w:hAnsi="Arial" w:cs="Arial"/>
          <w:sz w:val="24"/>
          <w:szCs w:val="24"/>
        </w:rPr>
        <w:t xml:space="preserve">lo Stato che gode in ogni caso, un certo margine di </w:t>
      </w:r>
      <w:r>
        <w:rPr>
          <w:rStyle w:val="tlid-translation"/>
          <w:rFonts w:ascii="Arial" w:hAnsi="Arial" w:cs="Arial"/>
          <w:sz w:val="24"/>
          <w:szCs w:val="24"/>
        </w:rPr>
        <w:t xml:space="preserve">discrezionalità </w:t>
      </w:r>
      <w:r w:rsidRPr="00150775">
        <w:rPr>
          <w:rStyle w:val="tlid-translation"/>
          <w:rFonts w:ascii="Arial" w:hAnsi="Arial" w:cs="Arial"/>
          <w:sz w:val="24"/>
          <w:szCs w:val="24"/>
        </w:rPr>
        <w:t>(López Ostra, sopra citata, § 51, e Guerra e a., citata sopra, § 58).</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159. Gli Stati hanno un obbligo positivo soprattutto nel settore di caso di un'attività pericolosa, per mettere in atto un </w:t>
      </w:r>
      <w:r>
        <w:rPr>
          <w:rStyle w:val="tlid-translation"/>
          <w:rFonts w:ascii="Arial" w:hAnsi="Arial" w:cs="Arial"/>
          <w:sz w:val="24"/>
          <w:szCs w:val="24"/>
        </w:rPr>
        <w:t xml:space="preserve">norme adattate </w:t>
      </w:r>
      <w:r w:rsidRPr="00150775">
        <w:rPr>
          <w:rStyle w:val="tlid-translation"/>
          <w:rFonts w:ascii="Arial" w:hAnsi="Arial" w:cs="Arial"/>
          <w:sz w:val="24"/>
          <w:szCs w:val="24"/>
        </w:rPr>
        <w:t xml:space="preserve">alle specificità dell'attività, in particolare per quanto riguarda il rischio </w:t>
      </w:r>
      <w:r>
        <w:rPr>
          <w:rStyle w:val="tlid-translation"/>
          <w:rFonts w:ascii="Arial" w:hAnsi="Arial" w:cs="Arial"/>
          <w:sz w:val="24"/>
          <w:szCs w:val="24"/>
        </w:rPr>
        <w:t>risultante</w:t>
      </w:r>
      <w:r w:rsidRPr="00150775">
        <w:rPr>
          <w:rStyle w:val="tlid-translation"/>
          <w:rFonts w:ascii="Arial" w:hAnsi="Arial" w:cs="Arial"/>
          <w:sz w:val="24"/>
          <w:szCs w:val="24"/>
        </w:rPr>
        <w:t xml:space="preserve">. </w:t>
      </w:r>
      <w:r>
        <w:rPr>
          <w:rStyle w:val="tlid-translation"/>
          <w:rFonts w:ascii="Arial" w:hAnsi="Arial" w:cs="Arial"/>
          <w:sz w:val="24"/>
          <w:szCs w:val="24"/>
        </w:rPr>
        <w:t xml:space="preserve">La normativa </w:t>
      </w:r>
      <w:r w:rsidRPr="00150775">
        <w:rPr>
          <w:rStyle w:val="tlid-translation"/>
          <w:rFonts w:ascii="Arial" w:hAnsi="Arial" w:cs="Arial"/>
          <w:sz w:val="24"/>
          <w:szCs w:val="24"/>
        </w:rPr>
        <w:t xml:space="preserve">deve </w:t>
      </w:r>
      <w:r>
        <w:rPr>
          <w:rStyle w:val="tlid-translation"/>
          <w:rFonts w:ascii="Arial" w:hAnsi="Arial" w:cs="Arial"/>
          <w:sz w:val="24"/>
          <w:szCs w:val="24"/>
        </w:rPr>
        <w:t>garantire che l’</w:t>
      </w:r>
      <w:r w:rsidRPr="00150775">
        <w:rPr>
          <w:rStyle w:val="tlid-translation"/>
          <w:rFonts w:ascii="Arial" w:hAnsi="Arial" w:cs="Arial"/>
          <w:sz w:val="24"/>
          <w:szCs w:val="24"/>
        </w:rPr>
        <w:t xml:space="preserve">autorizzazione, la messa in servizio, </w:t>
      </w:r>
      <w:r>
        <w:rPr>
          <w:rStyle w:val="tlid-translation"/>
          <w:rFonts w:ascii="Arial" w:hAnsi="Arial" w:cs="Arial"/>
          <w:sz w:val="24"/>
          <w:szCs w:val="24"/>
        </w:rPr>
        <w:t xml:space="preserve">il </w:t>
      </w:r>
      <w:r w:rsidRPr="00150775">
        <w:rPr>
          <w:rStyle w:val="tlid-translation"/>
          <w:rFonts w:ascii="Arial" w:hAnsi="Arial" w:cs="Arial"/>
          <w:sz w:val="24"/>
          <w:szCs w:val="24"/>
        </w:rPr>
        <w:t xml:space="preserve">funzionamento, </w:t>
      </w:r>
      <w:r>
        <w:rPr>
          <w:rStyle w:val="tlid-translation"/>
          <w:rFonts w:ascii="Arial" w:hAnsi="Arial" w:cs="Arial"/>
          <w:sz w:val="24"/>
          <w:szCs w:val="24"/>
        </w:rPr>
        <w:t xml:space="preserve">la </w:t>
      </w:r>
      <w:r w:rsidRPr="00150775">
        <w:rPr>
          <w:rStyle w:val="tlid-translation"/>
          <w:rFonts w:ascii="Arial" w:hAnsi="Arial" w:cs="Arial"/>
          <w:sz w:val="24"/>
          <w:szCs w:val="24"/>
        </w:rPr>
        <w:t>sicurezza e</w:t>
      </w:r>
      <w:r>
        <w:rPr>
          <w:rStyle w:val="tlid-translation"/>
          <w:rFonts w:ascii="Arial" w:hAnsi="Arial" w:cs="Arial"/>
          <w:sz w:val="24"/>
          <w:szCs w:val="24"/>
        </w:rPr>
        <w:t xml:space="preserve"> il</w:t>
      </w:r>
      <w:r w:rsidRPr="00150775">
        <w:rPr>
          <w:rStyle w:val="tlid-translation"/>
          <w:rFonts w:ascii="Arial" w:hAnsi="Arial" w:cs="Arial"/>
          <w:sz w:val="24"/>
          <w:szCs w:val="24"/>
        </w:rPr>
        <w:t xml:space="preserve"> controllo dell'attività in questione, </w:t>
      </w:r>
      <w:r>
        <w:rPr>
          <w:rStyle w:val="tlid-translation"/>
          <w:rFonts w:ascii="Arial" w:hAnsi="Arial" w:cs="Arial"/>
          <w:sz w:val="24"/>
          <w:szCs w:val="24"/>
        </w:rPr>
        <w:t>deve imporre a qualsiasi persona obbligata l’</w:t>
      </w:r>
      <w:r w:rsidRPr="00150775">
        <w:rPr>
          <w:rStyle w:val="tlid-translation"/>
          <w:rFonts w:ascii="Arial" w:hAnsi="Arial" w:cs="Arial"/>
          <w:sz w:val="24"/>
          <w:szCs w:val="24"/>
        </w:rPr>
        <w:t xml:space="preserve">adozione di misure pratiche per garantire la protezione cittadini le cui vite possono essere esposte ai pericoli </w:t>
      </w:r>
      <w:r>
        <w:rPr>
          <w:rStyle w:val="tlid-translation"/>
          <w:rFonts w:ascii="Arial" w:hAnsi="Arial" w:cs="Arial"/>
          <w:sz w:val="24"/>
          <w:szCs w:val="24"/>
        </w:rPr>
        <w:t>inerenti l’attività</w:t>
      </w:r>
      <w:r w:rsidRPr="00150775">
        <w:rPr>
          <w:rStyle w:val="tlid-translation"/>
          <w:rFonts w:ascii="Arial" w:hAnsi="Arial" w:cs="Arial"/>
          <w:sz w:val="24"/>
          <w:szCs w:val="24"/>
        </w:rPr>
        <w:t xml:space="preserve"> (vedi, </w:t>
      </w:r>
      <w:proofErr w:type="spellStart"/>
      <w:r w:rsidRPr="00150775">
        <w:rPr>
          <w:rStyle w:val="tlid-translation"/>
          <w:rFonts w:ascii="Arial" w:hAnsi="Arial" w:cs="Arial"/>
          <w:sz w:val="24"/>
          <w:szCs w:val="24"/>
        </w:rPr>
        <w:t>mutatis</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mutandis</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Oneryildiz</w:t>
      </w:r>
      <w:proofErr w:type="spellEnd"/>
      <w:r w:rsidRPr="00150775">
        <w:rPr>
          <w:rStyle w:val="tlid-translation"/>
          <w:rFonts w:ascii="Arial" w:hAnsi="Arial" w:cs="Arial"/>
          <w:sz w:val="24"/>
          <w:szCs w:val="24"/>
        </w:rPr>
        <w:t xml:space="preserve"> c. Turchia, [GC], No. 48939/99, § 90, ECHR 2004-XII, e </w:t>
      </w:r>
      <w:proofErr w:type="spellStart"/>
      <w:r w:rsidRPr="00150775">
        <w:rPr>
          <w:rStyle w:val="tlid-translation"/>
          <w:rFonts w:ascii="Arial" w:hAnsi="Arial" w:cs="Arial"/>
          <w:sz w:val="24"/>
          <w:szCs w:val="24"/>
        </w:rPr>
        <w:t>Brincat</w:t>
      </w:r>
      <w:proofErr w:type="spellEnd"/>
      <w:r w:rsidRPr="00150775">
        <w:rPr>
          <w:rStyle w:val="tlid-translation"/>
          <w:rFonts w:ascii="Arial" w:hAnsi="Arial" w:cs="Arial"/>
          <w:sz w:val="24"/>
          <w:szCs w:val="24"/>
        </w:rPr>
        <w:t xml:space="preserve"> e altri c. Malta, n. 60908/11 e altre 4, §§ 101-102, 24 luglio 2014).</w:t>
      </w:r>
      <w:r w:rsidRPr="00150775">
        <w:rPr>
          <w:rFonts w:ascii="Arial" w:hAnsi="Arial" w:cs="Arial"/>
          <w:sz w:val="24"/>
          <w:szCs w:val="24"/>
        </w:rPr>
        <w:br/>
      </w:r>
      <w:r w:rsidRPr="00150775">
        <w:rPr>
          <w:rStyle w:val="tlid-translation"/>
          <w:rFonts w:ascii="Arial" w:hAnsi="Arial" w:cs="Arial"/>
          <w:sz w:val="24"/>
          <w:szCs w:val="24"/>
        </w:rPr>
        <w:t>160. Infine, è spesso impossibile quantificare gli effetti da inquinamento industriale significativo in ogni singola situazione e distinguere l'influenza di altri fattori, come, ad esempio, l'età e</w:t>
      </w:r>
      <w:r>
        <w:rPr>
          <w:rStyle w:val="tlid-translation"/>
          <w:rFonts w:ascii="Arial" w:hAnsi="Arial" w:cs="Arial"/>
          <w:sz w:val="24"/>
          <w:szCs w:val="24"/>
        </w:rPr>
        <w:t xml:space="preserve"> la </w:t>
      </w:r>
      <w:r w:rsidRPr="00150775">
        <w:rPr>
          <w:rStyle w:val="tlid-translation"/>
          <w:rFonts w:ascii="Arial" w:hAnsi="Arial" w:cs="Arial"/>
          <w:sz w:val="24"/>
          <w:szCs w:val="24"/>
        </w:rPr>
        <w:t>professione</w:t>
      </w:r>
      <w:r>
        <w:rPr>
          <w:rStyle w:val="tlid-translation"/>
          <w:rFonts w:ascii="Arial" w:hAnsi="Arial" w:cs="Arial"/>
          <w:sz w:val="24"/>
          <w:szCs w:val="24"/>
        </w:rPr>
        <w:t xml:space="preserve"> individuale</w:t>
      </w:r>
      <w:r w:rsidRPr="00150775">
        <w:rPr>
          <w:rStyle w:val="tlid-translation"/>
          <w:rFonts w:ascii="Arial" w:hAnsi="Arial" w:cs="Arial"/>
          <w:sz w:val="24"/>
          <w:szCs w:val="24"/>
        </w:rPr>
        <w:t xml:space="preserve">. Lo stesso vale per il degrado della qualità della vita derivante dall'inquinamento industriale. La "qualità della vita" è </w:t>
      </w:r>
      <w:r>
        <w:rPr>
          <w:rStyle w:val="tlid-translation"/>
          <w:rFonts w:ascii="Arial" w:hAnsi="Arial" w:cs="Arial"/>
          <w:sz w:val="24"/>
          <w:szCs w:val="24"/>
        </w:rPr>
        <w:t>un</w:t>
      </w:r>
      <w:r w:rsidRPr="00150775">
        <w:rPr>
          <w:rStyle w:val="tlid-translation"/>
          <w:rFonts w:ascii="Arial" w:hAnsi="Arial" w:cs="Arial"/>
          <w:sz w:val="24"/>
          <w:szCs w:val="24"/>
        </w:rPr>
        <w:t xml:space="preserve"> concetto molto soggettivo che non si presta a una definizione precisa. a partire dal</w:t>
      </w:r>
      <w:r>
        <w:rPr>
          <w:rStyle w:val="tlid-translation"/>
          <w:rFonts w:ascii="Arial" w:hAnsi="Arial" w:cs="Arial"/>
          <w:sz w:val="24"/>
          <w:szCs w:val="24"/>
        </w:rPr>
        <w:t xml:space="preserve"> punto di</w:t>
      </w:r>
      <w:r w:rsidRPr="00150775">
        <w:rPr>
          <w:rStyle w:val="tlid-translation"/>
          <w:rFonts w:ascii="Arial" w:hAnsi="Arial" w:cs="Arial"/>
          <w:sz w:val="24"/>
          <w:szCs w:val="24"/>
        </w:rPr>
        <w:t xml:space="preserve"> vista dell'istituzione</w:t>
      </w:r>
      <w:r>
        <w:rPr>
          <w:rStyle w:val="tlid-translation"/>
          <w:rFonts w:ascii="Arial" w:hAnsi="Arial" w:cs="Arial"/>
          <w:sz w:val="24"/>
          <w:szCs w:val="24"/>
        </w:rPr>
        <w:t xml:space="preserve"> e n</w:t>
      </w:r>
      <w:r w:rsidRPr="00150775">
        <w:rPr>
          <w:rStyle w:val="tlid-translation"/>
          <w:rFonts w:ascii="Arial" w:hAnsi="Arial" w:cs="Arial"/>
          <w:sz w:val="24"/>
          <w:szCs w:val="24"/>
        </w:rPr>
        <w:t xml:space="preserve">elle circostanze di fatto </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 che sono </w:t>
      </w:r>
      <w:r>
        <w:rPr>
          <w:rStyle w:val="tlid-translation"/>
          <w:rFonts w:ascii="Arial" w:hAnsi="Arial" w:cs="Arial"/>
          <w:sz w:val="24"/>
          <w:szCs w:val="24"/>
        </w:rPr>
        <w:t>presentate nel caso specifico</w:t>
      </w:r>
      <w:r w:rsidRPr="00150775">
        <w:rPr>
          <w:rStyle w:val="tlid-translation"/>
          <w:rFonts w:ascii="Arial" w:hAnsi="Arial" w:cs="Arial"/>
          <w:sz w:val="24"/>
          <w:szCs w:val="24"/>
        </w:rPr>
        <w:t>, la Corte non ha altra scel</w:t>
      </w:r>
      <w:r>
        <w:rPr>
          <w:rStyle w:val="tlid-translation"/>
          <w:rFonts w:ascii="Arial" w:hAnsi="Arial" w:cs="Arial"/>
          <w:sz w:val="24"/>
          <w:szCs w:val="24"/>
        </w:rPr>
        <w:t xml:space="preserve">ta che affidarsi in primo luogo, </w:t>
      </w:r>
      <w:r w:rsidRPr="00150775">
        <w:rPr>
          <w:rStyle w:val="tlid-translation"/>
          <w:rFonts w:ascii="Arial" w:hAnsi="Arial" w:cs="Arial"/>
          <w:sz w:val="24"/>
          <w:szCs w:val="24"/>
        </w:rPr>
        <w:t>anche se non esclusivamente, sulle conclusioni dei tribunali e altre autorità nazionali competenti (</w:t>
      </w:r>
      <w:proofErr w:type="spellStart"/>
      <w:r w:rsidRPr="00150775">
        <w:rPr>
          <w:rStyle w:val="tlid-translation"/>
          <w:rFonts w:ascii="Arial" w:hAnsi="Arial" w:cs="Arial"/>
          <w:sz w:val="24"/>
          <w:szCs w:val="24"/>
        </w:rPr>
        <w:t>Lediayeva</w:t>
      </w:r>
      <w:proofErr w:type="spellEnd"/>
      <w:r w:rsidRPr="00150775">
        <w:rPr>
          <w:rStyle w:val="tlid-translation"/>
          <w:rFonts w:ascii="Arial" w:hAnsi="Arial" w:cs="Arial"/>
          <w:sz w:val="24"/>
          <w:szCs w:val="24"/>
        </w:rPr>
        <w:t xml:space="preserve"> e altri c. Russia, 53157/99 e altri 3, § 90, 26 ottobre 2006 e </w:t>
      </w:r>
      <w:proofErr w:type="spellStart"/>
      <w:r w:rsidRPr="00150775">
        <w:rPr>
          <w:rStyle w:val="tlid-translation"/>
          <w:rFonts w:ascii="Arial" w:hAnsi="Arial" w:cs="Arial"/>
          <w:sz w:val="24"/>
          <w:szCs w:val="24"/>
        </w:rPr>
        <w:t>Jugheli</w:t>
      </w:r>
      <w:proofErr w:type="spellEnd"/>
      <w:r w:rsidRPr="00150775">
        <w:rPr>
          <w:rStyle w:val="tlid-translation"/>
          <w:rFonts w:ascii="Arial" w:hAnsi="Arial" w:cs="Arial"/>
          <w:sz w:val="24"/>
          <w:szCs w:val="24"/>
        </w:rPr>
        <w:t xml:space="preserve"> e altri c. Georgia, No. 38342/05, § 63, 13 luglio 2017).</w:t>
      </w:r>
    </w:p>
    <w:p w:rsidR="005F1DFD" w:rsidRDefault="005F1DFD" w:rsidP="005F1DFD">
      <w:pPr>
        <w:spacing w:after="120"/>
        <w:jc w:val="both"/>
        <w:rPr>
          <w:rStyle w:val="tlid-translation"/>
          <w:rFonts w:ascii="Arial" w:hAnsi="Arial" w:cs="Arial"/>
          <w:sz w:val="24"/>
          <w:szCs w:val="24"/>
        </w:rPr>
      </w:pPr>
    </w:p>
    <w:p w:rsidR="005F1DFD" w:rsidRDefault="005F1DFD" w:rsidP="005F1DFD">
      <w:pPr>
        <w:spacing w:after="120"/>
        <w:jc w:val="both"/>
        <w:rPr>
          <w:rStyle w:val="tlid-translation"/>
          <w:rFonts w:ascii="Arial" w:hAnsi="Arial" w:cs="Arial"/>
          <w:b/>
          <w:sz w:val="24"/>
          <w:szCs w:val="24"/>
        </w:rPr>
      </w:pPr>
      <w:r w:rsidRPr="00D57B22">
        <w:rPr>
          <w:rStyle w:val="tlid-translation"/>
          <w:rFonts w:ascii="Arial" w:hAnsi="Arial" w:cs="Arial"/>
          <w:b/>
          <w:sz w:val="24"/>
          <w:szCs w:val="24"/>
        </w:rPr>
        <w:t>ii. Applicazione dei principi di cui sopra in questo caso</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161. La Corte nota che, sebbene non sia</w:t>
      </w:r>
      <w:r>
        <w:rPr>
          <w:rStyle w:val="tlid-translation"/>
          <w:rFonts w:ascii="Arial" w:hAnsi="Arial" w:cs="Arial"/>
          <w:sz w:val="24"/>
          <w:szCs w:val="24"/>
        </w:rPr>
        <w:t>no</w:t>
      </w:r>
      <w:r w:rsidRPr="00150775">
        <w:rPr>
          <w:rStyle w:val="tlid-translation"/>
          <w:rFonts w:ascii="Arial" w:hAnsi="Arial" w:cs="Arial"/>
          <w:sz w:val="24"/>
          <w:szCs w:val="24"/>
        </w:rPr>
        <w:t xml:space="preserve"> da determinare precisamente le misure che avrebbero dovuto essere prese per ridurre il livello di inquinamento</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in questo caso in modo più efficace, </w:t>
      </w:r>
      <w:r>
        <w:rPr>
          <w:rStyle w:val="tlid-translation"/>
          <w:rFonts w:ascii="Arial" w:hAnsi="Arial" w:cs="Arial"/>
          <w:sz w:val="24"/>
          <w:szCs w:val="24"/>
        </w:rPr>
        <w:t xml:space="preserve">deve concludere in merito al fatto </w:t>
      </w:r>
      <w:r w:rsidRPr="00150775">
        <w:rPr>
          <w:rStyle w:val="tlid-translation"/>
          <w:rFonts w:ascii="Arial" w:hAnsi="Arial" w:cs="Arial"/>
          <w:sz w:val="24"/>
          <w:szCs w:val="24"/>
        </w:rPr>
        <w:t>se le autorità nazionali hanno affrontato la questione con la dovuta diligenza e se hanno preso in considerazione tutti gli interessi</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concorrenti. In tale contesto, la Corte ribadisce che spetta allo Stato giustificare </w:t>
      </w:r>
      <w:r>
        <w:rPr>
          <w:rStyle w:val="tlid-translation"/>
          <w:rFonts w:ascii="Arial" w:hAnsi="Arial" w:cs="Arial"/>
          <w:sz w:val="24"/>
          <w:szCs w:val="24"/>
        </w:rPr>
        <w:t xml:space="preserve">con </w:t>
      </w:r>
      <w:r w:rsidRPr="00150775">
        <w:rPr>
          <w:rStyle w:val="tlid-translation"/>
          <w:rFonts w:ascii="Arial" w:hAnsi="Arial" w:cs="Arial"/>
          <w:sz w:val="24"/>
          <w:szCs w:val="24"/>
        </w:rPr>
        <w:t xml:space="preserve">elementi precisi e dettagliati le situazioni in cui alcuni individui si ritrovano a dover sopportare </w:t>
      </w:r>
      <w:r>
        <w:rPr>
          <w:rStyle w:val="tlid-translation"/>
          <w:rFonts w:ascii="Arial" w:hAnsi="Arial" w:cs="Arial"/>
          <w:sz w:val="24"/>
          <w:szCs w:val="24"/>
        </w:rPr>
        <w:t>conseguenze</w:t>
      </w:r>
      <w:r w:rsidRPr="00150775">
        <w:rPr>
          <w:rStyle w:val="tlid-translation"/>
          <w:rFonts w:ascii="Arial" w:hAnsi="Arial" w:cs="Arial"/>
          <w:sz w:val="24"/>
          <w:szCs w:val="24"/>
        </w:rPr>
        <w:t xml:space="preserve"> </w:t>
      </w:r>
      <w:r>
        <w:rPr>
          <w:rStyle w:val="tlid-translation"/>
          <w:rFonts w:ascii="Arial" w:hAnsi="Arial" w:cs="Arial"/>
          <w:sz w:val="24"/>
          <w:szCs w:val="24"/>
        </w:rPr>
        <w:t xml:space="preserve">pesanti </w:t>
      </w:r>
      <w:r w:rsidRPr="00150775">
        <w:rPr>
          <w:rStyle w:val="tlid-translation"/>
          <w:rFonts w:ascii="Arial" w:hAnsi="Arial" w:cs="Arial"/>
          <w:sz w:val="24"/>
          <w:szCs w:val="24"/>
        </w:rPr>
        <w:t xml:space="preserve">in nome di dell'interesse della società. </w:t>
      </w:r>
      <w:r>
        <w:rPr>
          <w:rStyle w:val="tlid-translation"/>
          <w:rFonts w:ascii="Arial" w:hAnsi="Arial" w:cs="Arial"/>
          <w:sz w:val="24"/>
          <w:szCs w:val="24"/>
        </w:rPr>
        <w:t>L’e</w:t>
      </w:r>
      <w:r w:rsidRPr="00150775">
        <w:rPr>
          <w:rStyle w:val="tlid-translation"/>
          <w:rFonts w:ascii="Arial" w:hAnsi="Arial" w:cs="Arial"/>
          <w:sz w:val="24"/>
          <w:szCs w:val="24"/>
        </w:rPr>
        <w:t>same del caso presente da questa angolazione conduce la Corte a formulare le seguenti osservazioni (</w:t>
      </w:r>
      <w:proofErr w:type="spellStart"/>
      <w:r w:rsidRPr="00150775">
        <w:rPr>
          <w:rStyle w:val="tlid-translation"/>
          <w:rFonts w:ascii="Arial" w:hAnsi="Arial" w:cs="Arial"/>
          <w:sz w:val="24"/>
          <w:szCs w:val="24"/>
        </w:rPr>
        <w:t>Fadeïeva</w:t>
      </w:r>
      <w:proofErr w:type="spellEnd"/>
      <w:r w:rsidRPr="00150775">
        <w:rPr>
          <w:rStyle w:val="tlid-translation"/>
          <w:rFonts w:ascii="Arial" w:hAnsi="Arial" w:cs="Arial"/>
          <w:sz w:val="24"/>
          <w:szCs w:val="24"/>
        </w:rPr>
        <w:t>, citata sopra, § 128).</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162. In via preliminare, la Corte concorda con le ricorrenti sul fatto che l'oggetto di questo caso differisce da quello di </w:t>
      </w:r>
      <w:proofErr w:type="spellStart"/>
      <w:r w:rsidRPr="00150775">
        <w:rPr>
          <w:rStyle w:val="tlid-translation"/>
          <w:rFonts w:ascii="Arial" w:hAnsi="Arial" w:cs="Arial"/>
          <w:sz w:val="24"/>
          <w:szCs w:val="24"/>
        </w:rPr>
        <w:t>Smaltini</w:t>
      </w:r>
      <w:proofErr w:type="spellEnd"/>
      <w:r w:rsidRPr="00150775">
        <w:rPr>
          <w:rStyle w:val="tlid-translation"/>
          <w:rFonts w:ascii="Arial" w:hAnsi="Arial" w:cs="Arial"/>
          <w:sz w:val="24"/>
          <w:szCs w:val="24"/>
        </w:rPr>
        <w:t>, citato sopra</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 il richiedente, che è morto di leucemia durante</w:t>
      </w:r>
      <w:r>
        <w:rPr>
          <w:rStyle w:val="tlid-translation"/>
          <w:rFonts w:ascii="Arial" w:hAnsi="Arial" w:cs="Arial"/>
          <w:sz w:val="24"/>
          <w:szCs w:val="24"/>
        </w:rPr>
        <w:t xml:space="preserve"> un</w:t>
      </w:r>
      <w:r w:rsidRPr="00150775">
        <w:rPr>
          <w:rStyle w:val="tlid-translation"/>
          <w:rFonts w:ascii="Arial" w:hAnsi="Arial" w:cs="Arial"/>
          <w:sz w:val="24"/>
          <w:szCs w:val="24"/>
        </w:rPr>
        <w:t xml:space="preserve"> procedimento </w:t>
      </w:r>
      <w:r>
        <w:rPr>
          <w:rStyle w:val="tlid-translation"/>
          <w:rFonts w:ascii="Arial" w:hAnsi="Arial" w:cs="Arial"/>
          <w:sz w:val="24"/>
          <w:szCs w:val="24"/>
        </w:rPr>
        <w:t>precedente</w:t>
      </w:r>
      <w:r w:rsidRPr="00150775">
        <w:rPr>
          <w:rStyle w:val="tlid-translation"/>
          <w:rFonts w:ascii="Arial" w:hAnsi="Arial" w:cs="Arial"/>
          <w:sz w:val="24"/>
          <w:szCs w:val="24"/>
        </w:rPr>
        <w:t xml:space="preserve">, ha criticato le autorità nazionali per non aver riconosciuto l'esito del procedimento penale da essa avviato, l'esistenza di  causalità tra le </w:t>
      </w:r>
      <w:r w:rsidRPr="00150775">
        <w:rPr>
          <w:rStyle w:val="tlid-translation"/>
          <w:rFonts w:ascii="Arial" w:hAnsi="Arial" w:cs="Arial"/>
          <w:sz w:val="24"/>
          <w:szCs w:val="24"/>
        </w:rPr>
        <w:lastRenderedPageBreak/>
        <w:t xml:space="preserve">emissioni dalla </w:t>
      </w:r>
      <w:r>
        <w:rPr>
          <w:rStyle w:val="tlid-translation"/>
          <w:rFonts w:ascii="Arial" w:hAnsi="Arial" w:cs="Arial"/>
          <w:sz w:val="24"/>
          <w:szCs w:val="24"/>
        </w:rPr>
        <w:t xml:space="preserve">fabbrica Ilva di </w:t>
      </w:r>
      <w:r w:rsidRPr="00150775">
        <w:rPr>
          <w:rStyle w:val="tlid-translation"/>
          <w:rFonts w:ascii="Arial" w:hAnsi="Arial" w:cs="Arial"/>
          <w:sz w:val="24"/>
          <w:szCs w:val="24"/>
        </w:rPr>
        <w:t>Taranto e la sua patologia. In tale causa, la Corte ha in particolare sottolineato che, alla luce d</w:t>
      </w:r>
      <w:r>
        <w:rPr>
          <w:rStyle w:val="tlid-translation"/>
          <w:rFonts w:ascii="Arial" w:hAnsi="Arial" w:cs="Arial"/>
          <w:sz w:val="24"/>
          <w:szCs w:val="24"/>
        </w:rPr>
        <w:t xml:space="preserve">elle conoscenze scientifiche disponibili </w:t>
      </w:r>
      <w:r w:rsidRPr="00150775">
        <w:rPr>
          <w:rStyle w:val="tlid-translation"/>
          <w:rFonts w:ascii="Arial" w:hAnsi="Arial" w:cs="Arial"/>
          <w:sz w:val="24"/>
          <w:szCs w:val="24"/>
        </w:rPr>
        <w:t xml:space="preserve">al momento </w:t>
      </w:r>
      <w:r>
        <w:rPr>
          <w:rStyle w:val="tlid-translation"/>
          <w:rFonts w:ascii="Arial" w:hAnsi="Arial" w:cs="Arial"/>
          <w:sz w:val="24"/>
          <w:szCs w:val="24"/>
        </w:rPr>
        <w:t>della decisione</w:t>
      </w:r>
      <w:r w:rsidRPr="00150775">
        <w:rPr>
          <w:rStyle w:val="tlid-translation"/>
          <w:rFonts w:ascii="Arial" w:hAnsi="Arial" w:cs="Arial"/>
          <w:sz w:val="24"/>
          <w:szCs w:val="24"/>
        </w:rPr>
        <w:t xml:space="preserve"> e senza pregiudizio </w:t>
      </w:r>
      <w:r>
        <w:rPr>
          <w:rStyle w:val="tlid-translation"/>
          <w:rFonts w:ascii="Arial" w:hAnsi="Arial" w:cs="Arial"/>
          <w:sz w:val="24"/>
          <w:szCs w:val="24"/>
        </w:rPr>
        <w:t xml:space="preserve">per </w:t>
      </w:r>
      <w:r w:rsidRPr="00150775">
        <w:rPr>
          <w:rStyle w:val="tlid-translation"/>
          <w:rFonts w:ascii="Arial" w:hAnsi="Arial" w:cs="Arial"/>
          <w:sz w:val="24"/>
          <w:szCs w:val="24"/>
        </w:rPr>
        <w:t xml:space="preserve">i risultati di futuri studi scientifici, </w:t>
      </w:r>
      <w:r>
        <w:rPr>
          <w:rStyle w:val="tlid-translation"/>
          <w:rFonts w:ascii="Arial" w:hAnsi="Arial" w:cs="Arial"/>
          <w:sz w:val="24"/>
          <w:szCs w:val="24"/>
        </w:rPr>
        <w:t>la decisione di rigetto del ricorso</w:t>
      </w:r>
      <w:r w:rsidRPr="00150775">
        <w:rPr>
          <w:rStyle w:val="tlid-translation"/>
          <w:rFonts w:ascii="Arial" w:hAnsi="Arial" w:cs="Arial"/>
          <w:sz w:val="24"/>
          <w:szCs w:val="24"/>
        </w:rPr>
        <w:t xml:space="preserve"> </w:t>
      </w:r>
      <w:r>
        <w:rPr>
          <w:rStyle w:val="tlid-translation"/>
          <w:rFonts w:ascii="Arial" w:hAnsi="Arial" w:cs="Arial"/>
          <w:sz w:val="24"/>
          <w:szCs w:val="24"/>
        </w:rPr>
        <w:t>era stata debitamente motivata</w:t>
      </w:r>
      <w:r w:rsidRPr="00150775">
        <w:rPr>
          <w:rStyle w:val="tlid-translation"/>
          <w:rFonts w:ascii="Arial" w:hAnsi="Arial" w:cs="Arial"/>
          <w:sz w:val="24"/>
          <w:szCs w:val="24"/>
        </w:rPr>
        <w:t>. Nel presente caso, i ricorrenti</w:t>
      </w:r>
      <w:r>
        <w:rPr>
          <w:rStyle w:val="tlid-translation"/>
          <w:rFonts w:ascii="Arial" w:hAnsi="Arial" w:cs="Arial"/>
          <w:sz w:val="24"/>
          <w:szCs w:val="24"/>
        </w:rPr>
        <w:t xml:space="preserve"> </w:t>
      </w:r>
      <w:r w:rsidRPr="00150775">
        <w:rPr>
          <w:rStyle w:val="tlid-translation"/>
          <w:rFonts w:ascii="Arial" w:hAnsi="Arial" w:cs="Arial"/>
          <w:sz w:val="24"/>
          <w:szCs w:val="24"/>
        </w:rPr>
        <w:t>denuncia</w:t>
      </w:r>
      <w:r>
        <w:rPr>
          <w:rStyle w:val="tlid-translation"/>
          <w:rFonts w:ascii="Arial" w:hAnsi="Arial" w:cs="Arial"/>
          <w:sz w:val="24"/>
          <w:szCs w:val="24"/>
        </w:rPr>
        <w:t>no</w:t>
      </w:r>
      <w:r w:rsidRPr="00150775">
        <w:rPr>
          <w:rStyle w:val="tlid-translation"/>
          <w:rFonts w:ascii="Arial" w:hAnsi="Arial" w:cs="Arial"/>
          <w:sz w:val="24"/>
          <w:szCs w:val="24"/>
        </w:rPr>
        <w:t xml:space="preserve"> l'assenza di misure statali per proteggere la loro salute e l'ambiente. È solo su quest'ultima domanda, diversa da </w:t>
      </w:r>
      <w:r>
        <w:rPr>
          <w:rStyle w:val="tlid-translation"/>
          <w:rFonts w:ascii="Arial" w:hAnsi="Arial" w:cs="Arial"/>
          <w:sz w:val="24"/>
          <w:szCs w:val="24"/>
        </w:rPr>
        <w:t>quella</w:t>
      </w:r>
      <w:r w:rsidRPr="00150775">
        <w:rPr>
          <w:rStyle w:val="tlid-translation"/>
          <w:rFonts w:ascii="Arial" w:hAnsi="Arial" w:cs="Arial"/>
          <w:sz w:val="24"/>
          <w:szCs w:val="24"/>
        </w:rPr>
        <w:t xml:space="preserve"> in discussione in </w:t>
      </w:r>
      <w:proofErr w:type="spellStart"/>
      <w:r w:rsidRPr="00150775">
        <w:rPr>
          <w:rStyle w:val="tlid-translation"/>
          <w:rFonts w:ascii="Arial" w:hAnsi="Arial" w:cs="Arial"/>
          <w:sz w:val="24"/>
          <w:szCs w:val="24"/>
        </w:rPr>
        <w:t>Smaltini</w:t>
      </w:r>
      <w:proofErr w:type="spellEnd"/>
      <w:r w:rsidRPr="00150775">
        <w:rPr>
          <w:rStyle w:val="tlid-translation"/>
          <w:rFonts w:ascii="Arial" w:hAnsi="Arial" w:cs="Arial"/>
          <w:sz w:val="24"/>
          <w:szCs w:val="24"/>
        </w:rPr>
        <w:t xml:space="preserve">, sopra, che la Corte è chiamata a </w:t>
      </w:r>
      <w:r>
        <w:rPr>
          <w:rStyle w:val="tlid-translation"/>
          <w:rFonts w:ascii="Arial" w:hAnsi="Arial" w:cs="Arial"/>
          <w:sz w:val="24"/>
          <w:szCs w:val="24"/>
        </w:rPr>
        <w:t>decidere</w:t>
      </w:r>
      <w:r w:rsidRPr="00150775">
        <w:rPr>
          <w:rStyle w:val="tlid-translation"/>
          <w:rFonts w:ascii="Arial" w:hAnsi="Arial" w:cs="Arial"/>
          <w:sz w:val="24"/>
          <w:szCs w:val="24"/>
        </w:rPr>
        <w:t>.</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163. La Corte nota che, dagli anni '70, gli studi </w:t>
      </w:r>
      <w:r>
        <w:rPr>
          <w:rStyle w:val="tlid-translation"/>
          <w:rFonts w:ascii="Arial" w:hAnsi="Arial" w:cs="Arial"/>
          <w:sz w:val="24"/>
          <w:szCs w:val="24"/>
        </w:rPr>
        <w:t>scientifici</w:t>
      </w:r>
      <w:r w:rsidRPr="00150775">
        <w:rPr>
          <w:rStyle w:val="tlid-translation"/>
          <w:rFonts w:ascii="Arial" w:hAnsi="Arial" w:cs="Arial"/>
          <w:sz w:val="24"/>
          <w:szCs w:val="24"/>
        </w:rPr>
        <w:t xml:space="preserve"> riportano gli effetti inquinanti delle emissioni dall'impianto Ilva di Taranto sull'ambiente e sulla salute umana (paragrafi 15 e</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seguente sopra). I risultati di questi rapporti, in gran parte </w:t>
      </w:r>
      <w:r>
        <w:rPr>
          <w:rStyle w:val="tlid-translation"/>
          <w:rFonts w:ascii="Arial" w:hAnsi="Arial" w:cs="Arial"/>
          <w:sz w:val="24"/>
          <w:szCs w:val="24"/>
        </w:rPr>
        <w:t>redatti da istituzioni s</w:t>
      </w:r>
      <w:r w:rsidRPr="00150775">
        <w:rPr>
          <w:rStyle w:val="tlid-translation"/>
          <w:rFonts w:ascii="Arial" w:hAnsi="Arial" w:cs="Arial"/>
          <w:sz w:val="24"/>
          <w:szCs w:val="24"/>
        </w:rPr>
        <w:t>tatali e regionali non sono oggetto di disputa tra le parti.</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164. In questo contesto, </w:t>
      </w:r>
      <w:r>
        <w:rPr>
          <w:rStyle w:val="tlid-translation"/>
          <w:rFonts w:ascii="Arial" w:hAnsi="Arial" w:cs="Arial"/>
          <w:sz w:val="24"/>
          <w:szCs w:val="24"/>
        </w:rPr>
        <w:t>si ricorda in particolare la relazione</w:t>
      </w:r>
      <w:r w:rsidRPr="00150775">
        <w:rPr>
          <w:rFonts w:ascii="Arial" w:hAnsi="Arial" w:cs="Arial"/>
          <w:sz w:val="24"/>
          <w:szCs w:val="24"/>
        </w:rPr>
        <w:t xml:space="preserve"> S</w:t>
      </w:r>
      <w:r w:rsidRPr="00150775">
        <w:rPr>
          <w:rStyle w:val="tlid-translation"/>
          <w:rFonts w:ascii="Arial" w:hAnsi="Arial" w:cs="Arial"/>
          <w:sz w:val="24"/>
          <w:szCs w:val="24"/>
        </w:rPr>
        <w:t>ENTIERI 2012, che attesta l'esistenza di un nesso causale tra esposizione ambientale agli agenti cancerogeni inalabili</w:t>
      </w:r>
      <w:r>
        <w:rPr>
          <w:rStyle w:val="tlid-translation"/>
          <w:rFonts w:ascii="Arial" w:hAnsi="Arial" w:cs="Arial"/>
          <w:sz w:val="24"/>
          <w:szCs w:val="24"/>
        </w:rPr>
        <w:t xml:space="preserve"> emessi </w:t>
      </w:r>
      <w:r w:rsidRPr="00150775">
        <w:rPr>
          <w:rStyle w:val="tlid-translation"/>
          <w:rFonts w:ascii="Arial" w:hAnsi="Arial" w:cs="Arial"/>
          <w:sz w:val="24"/>
          <w:szCs w:val="24"/>
        </w:rPr>
        <w:t>dalla società Ilva e lo sviluppo di tumori polmonari e della pleura e patologie del sistema cardiocircolatorio in residenti nelle aree colpite (vedere paragrafi 20 e seguenti).</w:t>
      </w:r>
      <w:r w:rsidRPr="00150775">
        <w:rPr>
          <w:rFonts w:ascii="Arial" w:hAnsi="Arial" w:cs="Arial"/>
          <w:sz w:val="24"/>
          <w:szCs w:val="24"/>
        </w:rPr>
        <w:br/>
      </w:r>
      <w:r w:rsidRPr="00150775">
        <w:rPr>
          <w:rStyle w:val="tlid-translation"/>
          <w:rFonts w:ascii="Arial" w:hAnsi="Arial" w:cs="Arial"/>
          <w:sz w:val="24"/>
          <w:szCs w:val="24"/>
        </w:rPr>
        <w:t xml:space="preserve">165. Inoltre, uno studio di coorte condotto nel 2016 ha dimostrato </w:t>
      </w:r>
      <w:r>
        <w:rPr>
          <w:rStyle w:val="tlid-translation"/>
          <w:rFonts w:ascii="Arial" w:hAnsi="Arial" w:cs="Arial"/>
          <w:sz w:val="24"/>
          <w:szCs w:val="24"/>
        </w:rPr>
        <w:t>un</w:t>
      </w:r>
      <w:r w:rsidRPr="00150775">
        <w:rPr>
          <w:rStyle w:val="tlid-translation"/>
          <w:rFonts w:ascii="Arial" w:hAnsi="Arial" w:cs="Arial"/>
          <w:sz w:val="24"/>
          <w:szCs w:val="24"/>
        </w:rPr>
        <w:t xml:space="preserve"> legame causale tra esposizione a PM10 e SO2 </w:t>
      </w:r>
      <w:r>
        <w:rPr>
          <w:rStyle w:val="tlid-translation"/>
          <w:rFonts w:ascii="Arial" w:hAnsi="Arial" w:cs="Arial"/>
          <w:sz w:val="24"/>
          <w:szCs w:val="24"/>
        </w:rPr>
        <w:t xml:space="preserve">di origine </w:t>
      </w:r>
      <w:r w:rsidRPr="00150775">
        <w:rPr>
          <w:rStyle w:val="tlid-translation"/>
          <w:rFonts w:ascii="Arial" w:hAnsi="Arial" w:cs="Arial"/>
          <w:sz w:val="24"/>
          <w:szCs w:val="24"/>
        </w:rPr>
        <w:t>industria</w:t>
      </w:r>
      <w:r>
        <w:rPr>
          <w:rStyle w:val="tlid-translation"/>
          <w:rFonts w:ascii="Arial" w:hAnsi="Arial" w:cs="Arial"/>
          <w:sz w:val="24"/>
          <w:szCs w:val="24"/>
        </w:rPr>
        <w:t>le</w:t>
      </w:r>
      <w:r w:rsidRPr="00150775">
        <w:rPr>
          <w:rStyle w:val="tlid-translation"/>
          <w:rFonts w:ascii="Arial" w:hAnsi="Arial" w:cs="Arial"/>
          <w:sz w:val="24"/>
          <w:szCs w:val="24"/>
        </w:rPr>
        <w:t>,</w:t>
      </w:r>
      <w:r>
        <w:rPr>
          <w:rStyle w:val="tlid-translation"/>
          <w:rFonts w:ascii="Arial" w:hAnsi="Arial" w:cs="Arial"/>
          <w:sz w:val="24"/>
          <w:szCs w:val="24"/>
        </w:rPr>
        <w:t xml:space="preserve"> dovuto</w:t>
      </w:r>
      <w:r w:rsidRPr="00150775">
        <w:rPr>
          <w:rStyle w:val="tlid-translation"/>
          <w:rFonts w:ascii="Arial" w:hAnsi="Arial" w:cs="Arial"/>
          <w:sz w:val="24"/>
          <w:szCs w:val="24"/>
        </w:rPr>
        <w:t xml:space="preserve"> all'attività produttiva di Ilva e all'aumento di</w:t>
      </w:r>
      <w:r>
        <w:rPr>
          <w:rStyle w:val="tlid-translation"/>
          <w:rFonts w:ascii="Arial" w:hAnsi="Arial" w:cs="Arial"/>
          <w:sz w:val="24"/>
          <w:szCs w:val="24"/>
        </w:rPr>
        <w:t xml:space="preserve"> </w:t>
      </w:r>
      <w:r w:rsidRPr="00150775">
        <w:rPr>
          <w:rStyle w:val="tlid-translation"/>
          <w:rFonts w:ascii="Arial" w:hAnsi="Arial" w:cs="Arial"/>
          <w:sz w:val="24"/>
          <w:szCs w:val="24"/>
        </w:rPr>
        <w:t>mortalità da cause naturali, tumori, reni malattie cardiovascolari nelle persone che vivono a Taranto (</w:t>
      </w:r>
      <w:proofErr w:type="spellStart"/>
      <w:r w:rsidRPr="00150775">
        <w:rPr>
          <w:rStyle w:val="tlid-translation"/>
          <w:rFonts w:ascii="Arial" w:hAnsi="Arial" w:cs="Arial"/>
          <w:sz w:val="24"/>
          <w:szCs w:val="24"/>
        </w:rPr>
        <w:t>cfr</w:t>
      </w:r>
      <w:proofErr w:type="spellEnd"/>
      <w:r w:rsidRPr="00150775">
        <w:rPr>
          <w:rStyle w:val="tlid-translation"/>
          <w:rFonts w:ascii="Arial" w:hAnsi="Arial" w:cs="Arial"/>
          <w:sz w:val="24"/>
          <w:szCs w:val="24"/>
        </w:rPr>
        <w:t xml:space="preserve"> e 26 sopra).</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166. Infine, lo stesso legame tra le emissioni industriali dell'azienda Ilva e il danno alla salute nella regione di Taranto è attestato nel Rapporto ARPA 2017. Quest'ultimo riferisce anche sulla permanenza di una situazione di salute critica nell'area ad alto rischio  e nell'INS di Taranto, dove il tasso di mortalità e di ospedalizzazione per determinate patologie oncologiche, cardiovascolare, respiratorio e digestivo era superiore alla  media regionale (vedere paragrafo 29 sopra).</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167. È necessario </w:t>
      </w:r>
      <w:r>
        <w:rPr>
          <w:rStyle w:val="tlid-translation"/>
          <w:rFonts w:ascii="Arial" w:hAnsi="Arial" w:cs="Arial"/>
          <w:sz w:val="24"/>
          <w:szCs w:val="24"/>
        </w:rPr>
        <w:t xml:space="preserve">evidenziare </w:t>
      </w:r>
      <w:r w:rsidRPr="00150775">
        <w:rPr>
          <w:rStyle w:val="tlid-translation"/>
          <w:rFonts w:ascii="Arial" w:hAnsi="Arial" w:cs="Arial"/>
          <w:sz w:val="24"/>
          <w:szCs w:val="24"/>
        </w:rPr>
        <w:t xml:space="preserve">ciò </w:t>
      </w:r>
      <w:r>
        <w:rPr>
          <w:rStyle w:val="tlid-translation"/>
          <w:rFonts w:ascii="Arial" w:hAnsi="Arial" w:cs="Arial"/>
          <w:sz w:val="24"/>
          <w:szCs w:val="24"/>
        </w:rPr>
        <w:t xml:space="preserve">a fronte dei </w:t>
      </w:r>
      <w:r w:rsidRPr="00150775">
        <w:rPr>
          <w:rStyle w:val="tlid-translation"/>
          <w:rFonts w:ascii="Arial" w:hAnsi="Arial" w:cs="Arial"/>
          <w:sz w:val="24"/>
          <w:szCs w:val="24"/>
        </w:rPr>
        <w:t>tentativi delle autorità</w:t>
      </w:r>
      <w:r>
        <w:rPr>
          <w:rStyle w:val="tlid-translation"/>
          <w:rFonts w:ascii="Arial" w:hAnsi="Arial" w:cs="Arial"/>
          <w:sz w:val="24"/>
          <w:szCs w:val="24"/>
        </w:rPr>
        <w:t xml:space="preserve"> </w:t>
      </w:r>
      <w:r w:rsidRPr="00150775">
        <w:rPr>
          <w:rStyle w:val="tlid-translation"/>
          <w:rFonts w:ascii="Arial" w:hAnsi="Arial" w:cs="Arial"/>
          <w:sz w:val="24"/>
          <w:szCs w:val="24"/>
        </w:rPr>
        <w:t>nazionali per condurre al disinquinamento della regione interessat</w:t>
      </w:r>
      <w:r>
        <w:rPr>
          <w:rStyle w:val="tlid-translation"/>
          <w:rFonts w:ascii="Arial" w:hAnsi="Arial" w:cs="Arial"/>
          <w:sz w:val="24"/>
          <w:szCs w:val="24"/>
        </w:rPr>
        <w:t>a :</w:t>
      </w:r>
      <w:r w:rsidRPr="00150775">
        <w:rPr>
          <w:rStyle w:val="tlid-translation"/>
          <w:rFonts w:ascii="Arial" w:hAnsi="Arial" w:cs="Arial"/>
          <w:sz w:val="24"/>
          <w:szCs w:val="24"/>
        </w:rPr>
        <w:t xml:space="preserve"> i progetti</w:t>
      </w:r>
      <w:r>
        <w:rPr>
          <w:rStyle w:val="tlid-translation"/>
          <w:rFonts w:ascii="Arial" w:hAnsi="Arial" w:cs="Arial"/>
          <w:sz w:val="24"/>
          <w:szCs w:val="24"/>
        </w:rPr>
        <w:t xml:space="preserve"> </w:t>
      </w:r>
      <w:r w:rsidRPr="00150775">
        <w:rPr>
          <w:rStyle w:val="tlid-translation"/>
          <w:rFonts w:ascii="Arial" w:hAnsi="Arial" w:cs="Arial"/>
          <w:sz w:val="24"/>
          <w:szCs w:val="24"/>
        </w:rPr>
        <w:t>in atto non hanno, finora, prodotto gli effetti desiderati.</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168. Le misure raccomandate dal 2012 nel contesto dell'AIA </w:t>
      </w:r>
      <w:r>
        <w:rPr>
          <w:rStyle w:val="tlid-translation"/>
          <w:rFonts w:ascii="Arial" w:hAnsi="Arial" w:cs="Arial"/>
          <w:sz w:val="24"/>
          <w:szCs w:val="24"/>
        </w:rPr>
        <w:t>a</w:t>
      </w:r>
      <w:r w:rsidRPr="00150775">
        <w:rPr>
          <w:rStyle w:val="tlid-translation"/>
          <w:rFonts w:ascii="Arial" w:hAnsi="Arial" w:cs="Arial"/>
          <w:sz w:val="24"/>
          <w:szCs w:val="24"/>
        </w:rPr>
        <w:t xml:space="preserve">l fine di migliorare l'impatto ambientale della pianta in definitiva non </w:t>
      </w:r>
      <w:r>
        <w:rPr>
          <w:rStyle w:val="tlid-translation"/>
          <w:rFonts w:ascii="Arial" w:hAnsi="Arial" w:cs="Arial"/>
          <w:sz w:val="24"/>
          <w:szCs w:val="24"/>
        </w:rPr>
        <w:t>sono state realizzate</w:t>
      </w:r>
      <w:r w:rsidRPr="00150775">
        <w:rPr>
          <w:rStyle w:val="tlid-translation"/>
          <w:rFonts w:ascii="Arial" w:hAnsi="Arial" w:cs="Arial"/>
          <w:sz w:val="24"/>
          <w:szCs w:val="24"/>
        </w:rPr>
        <w:t xml:space="preserve">; questo fallimento </w:t>
      </w:r>
      <w:r>
        <w:rPr>
          <w:rStyle w:val="tlid-translation"/>
          <w:rFonts w:ascii="Arial" w:hAnsi="Arial" w:cs="Arial"/>
          <w:sz w:val="24"/>
          <w:szCs w:val="24"/>
        </w:rPr>
        <w:t>è stato</w:t>
      </w:r>
      <w:r w:rsidRPr="00150775">
        <w:rPr>
          <w:rStyle w:val="tlid-translation"/>
          <w:rFonts w:ascii="Arial" w:hAnsi="Arial" w:cs="Arial"/>
          <w:sz w:val="24"/>
          <w:szCs w:val="24"/>
        </w:rPr>
        <w:t xml:space="preserve">, inoltre, </w:t>
      </w:r>
      <w:r>
        <w:rPr>
          <w:rStyle w:val="tlid-translation"/>
          <w:rFonts w:ascii="Arial" w:hAnsi="Arial" w:cs="Arial"/>
          <w:sz w:val="24"/>
          <w:szCs w:val="24"/>
        </w:rPr>
        <w:t>al</w:t>
      </w:r>
      <w:r w:rsidRPr="00150775">
        <w:rPr>
          <w:rStyle w:val="tlid-translation"/>
          <w:rFonts w:ascii="Arial" w:hAnsi="Arial" w:cs="Arial"/>
          <w:sz w:val="24"/>
          <w:szCs w:val="24"/>
        </w:rPr>
        <w:t>l'origine di una procedura dell'infrazione dinanzi all'Unione europea. Inoltre,</w:t>
      </w:r>
      <w:r>
        <w:rPr>
          <w:rStyle w:val="tlid-translation"/>
          <w:rFonts w:ascii="Arial" w:hAnsi="Arial" w:cs="Arial"/>
          <w:sz w:val="24"/>
          <w:szCs w:val="24"/>
        </w:rPr>
        <w:t xml:space="preserve"> </w:t>
      </w:r>
      <w:r w:rsidRPr="00150775">
        <w:rPr>
          <w:rStyle w:val="tlid-translation"/>
          <w:rFonts w:ascii="Arial" w:hAnsi="Arial" w:cs="Arial"/>
          <w:sz w:val="24"/>
          <w:szCs w:val="24"/>
        </w:rPr>
        <w:t>l'attuazione del piano ambientale approvato nel 2014 è stata rinviata a Agosto 2023 (vedere paragrafo 69 sopra). La procedura che consente</w:t>
      </w:r>
      <w:r>
        <w:rPr>
          <w:rStyle w:val="tlid-translation"/>
          <w:rFonts w:ascii="Arial" w:hAnsi="Arial" w:cs="Arial"/>
          <w:sz w:val="24"/>
          <w:szCs w:val="24"/>
        </w:rPr>
        <w:t xml:space="preserve"> di</w:t>
      </w:r>
      <w:r w:rsidRPr="00150775">
        <w:rPr>
          <w:rStyle w:val="tlid-translation"/>
          <w:rFonts w:ascii="Arial" w:hAnsi="Arial" w:cs="Arial"/>
          <w:sz w:val="24"/>
          <w:szCs w:val="24"/>
        </w:rPr>
        <w:t xml:space="preserve"> raggiungere gli obiettivi igienico-sanitari perseguiti dimostra così di essere</w:t>
      </w:r>
      <w:r>
        <w:rPr>
          <w:rStyle w:val="tlid-translation"/>
          <w:rFonts w:ascii="Arial" w:hAnsi="Arial" w:cs="Arial"/>
          <w:sz w:val="24"/>
          <w:szCs w:val="24"/>
        </w:rPr>
        <w:t xml:space="preserve"> </w:t>
      </w:r>
      <w:r w:rsidRPr="00150775">
        <w:rPr>
          <w:rStyle w:val="tlid-translation"/>
          <w:rFonts w:ascii="Arial" w:hAnsi="Arial" w:cs="Arial"/>
          <w:sz w:val="24"/>
          <w:szCs w:val="24"/>
        </w:rPr>
        <w:t>estrema lentezza (</w:t>
      </w:r>
      <w:proofErr w:type="spellStart"/>
      <w:r w:rsidRPr="00150775">
        <w:rPr>
          <w:rStyle w:val="tlid-translation"/>
          <w:rFonts w:ascii="Arial" w:hAnsi="Arial" w:cs="Arial"/>
          <w:sz w:val="24"/>
          <w:szCs w:val="24"/>
        </w:rPr>
        <w:t>Fadeyeva</w:t>
      </w:r>
      <w:proofErr w:type="spellEnd"/>
      <w:r w:rsidRPr="00150775">
        <w:rPr>
          <w:rStyle w:val="tlid-translation"/>
          <w:rFonts w:ascii="Arial" w:hAnsi="Arial" w:cs="Arial"/>
          <w:sz w:val="24"/>
          <w:szCs w:val="24"/>
        </w:rPr>
        <w:t>, citata sopra, §§ 126-127).</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169. Nel frattempo, il governo è intervenuto in diverse occasioni attraverso misure urgenti (decreti legge "salva-Ilva" - punti 47 e sopra) per assicurare la prosecuzione dell'attività di l'acciaieria, nonostante la constatazione da parte delle autorità giudiziarie</w:t>
      </w:r>
      <w:r w:rsidRPr="00150775">
        <w:rPr>
          <w:rFonts w:ascii="Arial" w:hAnsi="Arial" w:cs="Arial"/>
          <w:sz w:val="24"/>
          <w:szCs w:val="24"/>
        </w:rPr>
        <w:t xml:space="preserve"> </w:t>
      </w:r>
      <w:r w:rsidRPr="00150775">
        <w:rPr>
          <w:rStyle w:val="tlid-translation"/>
          <w:rFonts w:ascii="Arial" w:hAnsi="Arial" w:cs="Arial"/>
          <w:sz w:val="24"/>
          <w:szCs w:val="24"/>
        </w:rPr>
        <w:t>autorità competenti, basate su conoscenze chimiche ed epidemiologiche, l'esistenza di gravi rischi per la salute e l'ambiente</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(vedere paragrafo 76 sopra) e, per quanto riguarda il rigetto della </w:t>
      </w:r>
      <w:r w:rsidRPr="00150775">
        <w:rPr>
          <w:rStyle w:val="tlid-translation"/>
          <w:rFonts w:ascii="Arial" w:hAnsi="Arial" w:cs="Arial"/>
          <w:sz w:val="24"/>
          <w:szCs w:val="24"/>
        </w:rPr>
        <w:lastRenderedPageBreak/>
        <w:t xml:space="preserve">domanda di costituzionalità, paragrafo 51 sopra). Per di più, </w:t>
      </w:r>
      <w:r>
        <w:rPr>
          <w:rStyle w:val="tlid-translation"/>
          <w:rFonts w:ascii="Arial" w:hAnsi="Arial" w:cs="Arial"/>
          <w:sz w:val="24"/>
          <w:szCs w:val="24"/>
        </w:rPr>
        <w:t>l’</w:t>
      </w:r>
      <w:r w:rsidRPr="00150775">
        <w:rPr>
          <w:rStyle w:val="tlid-translation"/>
          <w:rFonts w:ascii="Arial" w:hAnsi="Arial" w:cs="Arial"/>
          <w:sz w:val="24"/>
          <w:szCs w:val="24"/>
        </w:rPr>
        <w:t>immunità la legge amministrativa e penale è stata riconosciuta per le persone responsabili di conformità ai requisiti ambientali, vale a dire l'amministratore provvisorio e il futuro acquirente della società (paragrafi 59 e 68 sopra).</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170. Inoltre, vi è una situazione di incertezza derivante da, da un lato</w:t>
      </w:r>
      <w:r>
        <w:rPr>
          <w:rStyle w:val="tlid-translation"/>
          <w:rFonts w:ascii="Arial" w:hAnsi="Arial" w:cs="Arial"/>
          <w:sz w:val="24"/>
          <w:szCs w:val="24"/>
        </w:rPr>
        <w:t xml:space="preserve"> dal</w:t>
      </w:r>
      <w:r w:rsidRPr="00150775">
        <w:rPr>
          <w:rStyle w:val="tlid-translation"/>
          <w:rFonts w:ascii="Arial" w:hAnsi="Arial" w:cs="Arial"/>
          <w:sz w:val="24"/>
          <w:szCs w:val="24"/>
        </w:rPr>
        <w:t xml:space="preserve">la </w:t>
      </w:r>
      <w:proofErr w:type="spellStart"/>
      <w:r w:rsidRPr="00150775">
        <w:rPr>
          <w:rStyle w:val="tlid-translation"/>
          <w:rFonts w:ascii="Arial" w:hAnsi="Arial" w:cs="Arial"/>
          <w:sz w:val="24"/>
          <w:szCs w:val="24"/>
        </w:rPr>
        <w:t>debacle</w:t>
      </w:r>
      <w:proofErr w:type="spellEnd"/>
      <w:r w:rsidRPr="00150775">
        <w:rPr>
          <w:rStyle w:val="tlid-translation"/>
          <w:rFonts w:ascii="Arial" w:hAnsi="Arial" w:cs="Arial"/>
          <w:sz w:val="24"/>
          <w:szCs w:val="24"/>
        </w:rPr>
        <w:t xml:space="preserve"> finanziaria della società (vedere paragrafo 60 sopra) e, d'altra parte, la possibilità concessa al futuro acquirente di posticipare il risanamento della pianta (vedere paragrafo 67 sopra). </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171. Il fatto è che la gestione da parte delle autorità nazionali di questioni ambientali legate all'attività produttiva dell'azienda Ilv</w:t>
      </w:r>
      <w:r>
        <w:rPr>
          <w:rStyle w:val="tlid-translation"/>
          <w:rFonts w:ascii="Arial" w:hAnsi="Arial" w:cs="Arial"/>
          <w:sz w:val="24"/>
          <w:szCs w:val="24"/>
        </w:rPr>
        <w:t xml:space="preserve">a di </w:t>
      </w:r>
      <w:r w:rsidRPr="00150775">
        <w:rPr>
          <w:rStyle w:val="tlid-translation"/>
          <w:rFonts w:ascii="Arial" w:hAnsi="Arial" w:cs="Arial"/>
          <w:sz w:val="24"/>
          <w:szCs w:val="24"/>
        </w:rPr>
        <w:t>Taranto è oggi bloccata.</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172. La Corte non può che prendere atto della proroga di una situazione di inquinamento ambientale che mette in pericolo la salute dei richiedenti e più in generale, quella dell'intera popolazione residente nel aree a rischio, che rimane, nello stato attuale, privo di informazioni a riguardo  </w:t>
      </w:r>
      <w:r>
        <w:rPr>
          <w:rStyle w:val="tlid-translation"/>
          <w:rFonts w:ascii="Arial" w:hAnsi="Arial" w:cs="Arial"/>
          <w:sz w:val="24"/>
          <w:szCs w:val="24"/>
        </w:rPr>
        <w:t xml:space="preserve">degli interventi di bonifica </w:t>
      </w:r>
      <w:r w:rsidRPr="00150775">
        <w:rPr>
          <w:rStyle w:val="tlid-translation"/>
          <w:rFonts w:ascii="Arial" w:hAnsi="Arial" w:cs="Arial"/>
          <w:sz w:val="24"/>
          <w:szCs w:val="24"/>
        </w:rPr>
        <w:t xml:space="preserve">del territorio in questione, in particolare </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 </w:t>
      </w:r>
      <w:r>
        <w:rPr>
          <w:rStyle w:val="tlid-translation"/>
          <w:rFonts w:ascii="Arial" w:hAnsi="Arial" w:cs="Arial"/>
          <w:sz w:val="24"/>
          <w:szCs w:val="24"/>
        </w:rPr>
        <w:t>quali sia</w:t>
      </w:r>
      <w:r w:rsidRPr="00150775">
        <w:rPr>
          <w:rStyle w:val="tlid-translation"/>
          <w:rFonts w:ascii="Arial" w:hAnsi="Arial" w:cs="Arial"/>
          <w:sz w:val="24"/>
          <w:szCs w:val="24"/>
        </w:rPr>
        <w:t>no le scadenze per l'attuazione del lavoro correlato.</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173. Alla luce di quanto precede, la Corte osserva che le autorità nazionali non hanno adottato tutte le misure necessarie per garantire l'effettiva tutela del diritto delle persone interessate al rispetto della loro vita privata.</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174. Quindi, il giusto equilibrio da trovare tra, da un lato, l'interesse del i richiedenti non devono subire gravi danni all'ambiente influenzare il loro benessere e la </w:t>
      </w:r>
      <w:r>
        <w:rPr>
          <w:rStyle w:val="tlid-translation"/>
          <w:rFonts w:ascii="Arial" w:hAnsi="Arial" w:cs="Arial"/>
          <w:sz w:val="24"/>
          <w:szCs w:val="24"/>
        </w:rPr>
        <w:t>vita privata</w:t>
      </w:r>
      <w:r w:rsidRPr="00150775">
        <w:rPr>
          <w:rStyle w:val="tlid-translation"/>
          <w:rFonts w:ascii="Arial" w:hAnsi="Arial" w:cs="Arial"/>
          <w:sz w:val="24"/>
          <w:szCs w:val="24"/>
        </w:rPr>
        <w:t xml:space="preserve"> e, d'altra parte, l'interesse della società nel suo complesso non è stato rispettato. Pertanto, c'è stata una violazione di</w:t>
      </w:r>
      <w:r>
        <w:rPr>
          <w:rStyle w:val="tlid-translation"/>
          <w:rFonts w:ascii="Arial" w:hAnsi="Arial" w:cs="Arial"/>
          <w:sz w:val="24"/>
          <w:szCs w:val="24"/>
        </w:rPr>
        <w:t xml:space="preserve">  </w:t>
      </w:r>
      <w:r w:rsidRPr="00150775">
        <w:rPr>
          <w:rStyle w:val="tlid-translation"/>
          <w:rFonts w:ascii="Arial" w:hAnsi="Arial" w:cs="Arial"/>
          <w:sz w:val="24"/>
          <w:szCs w:val="24"/>
        </w:rPr>
        <w:t>Articolo 8 della Convenzione</w:t>
      </w:r>
      <w:r>
        <w:rPr>
          <w:rStyle w:val="tlid-translation"/>
          <w:rFonts w:ascii="Arial" w:hAnsi="Arial" w:cs="Arial"/>
          <w:sz w:val="24"/>
          <w:szCs w:val="24"/>
        </w:rPr>
        <w:t>.</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p>
    <w:p w:rsidR="005F1DFD" w:rsidRDefault="005F1DFD" w:rsidP="005F1DFD">
      <w:pPr>
        <w:spacing w:after="120"/>
        <w:jc w:val="both"/>
        <w:rPr>
          <w:rStyle w:val="tlid-translation"/>
          <w:rFonts w:ascii="Arial" w:hAnsi="Arial" w:cs="Arial"/>
          <w:b/>
          <w:sz w:val="24"/>
          <w:szCs w:val="24"/>
        </w:rPr>
      </w:pPr>
      <w:r w:rsidRPr="00D57B22">
        <w:rPr>
          <w:rStyle w:val="tlid-translation"/>
          <w:rFonts w:ascii="Arial" w:hAnsi="Arial" w:cs="Arial"/>
          <w:b/>
          <w:sz w:val="24"/>
          <w:szCs w:val="24"/>
        </w:rPr>
        <w:t>2. Articolo 13 della Convenzione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175. La Corte ribadisce che l'articolo 13 della Convenzione garantisce l'esistenza nel diritto nazionale di </w:t>
      </w:r>
      <w:r>
        <w:rPr>
          <w:rStyle w:val="tlid-translation"/>
          <w:rFonts w:ascii="Arial" w:hAnsi="Arial" w:cs="Arial"/>
          <w:sz w:val="24"/>
          <w:szCs w:val="24"/>
        </w:rPr>
        <w:t xml:space="preserve">rimedi che consentano </w:t>
      </w:r>
      <w:r w:rsidRPr="00150775">
        <w:rPr>
          <w:rStyle w:val="tlid-translation"/>
          <w:rFonts w:ascii="Arial" w:hAnsi="Arial" w:cs="Arial"/>
          <w:sz w:val="24"/>
          <w:szCs w:val="24"/>
        </w:rPr>
        <w:t xml:space="preserve">all'autorità nazionale competente </w:t>
      </w:r>
      <w:r>
        <w:rPr>
          <w:rStyle w:val="tlid-translation"/>
          <w:rFonts w:ascii="Arial" w:hAnsi="Arial" w:cs="Arial"/>
          <w:sz w:val="24"/>
          <w:szCs w:val="24"/>
        </w:rPr>
        <w:t>di</w:t>
      </w:r>
      <w:r w:rsidRPr="00150775">
        <w:rPr>
          <w:rStyle w:val="tlid-translation"/>
          <w:rFonts w:ascii="Arial" w:hAnsi="Arial" w:cs="Arial"/>
          <w:sz w:val="24"/>
          <w:szCs w:val="24"/>
        </w:rPr>
        <w:t xml:space="preserve"> conoscere il contenuto di un "reclamo difendibile" basato sul Convenzione (Z. e altri c. Regno Unito [GC], n. 29392/95, § 108, ECHR 2001-V). Lo scopo di questo articolo è quello di fornire un mezzo attraverso da cui i litiganti possono ottenere riparazione a livello nazionale </w:t>
      </w:r>
      <w:r>
        <w:rPr>
          <w:rStyle w:val="tlid-translation"/>
          <w:rFonts w:ascii="Arial" w:hAnsi="Arial" w:cs="Arial"/>
          <w:sz w:val="24"/>
          <w:szCs w:val="24"/>
        </w:rPr>
        <w:t xml:space="preserve">in caso di </w:t>
      </w:r>
      <w:r w:rsidRPr="00150775">
        <w:rPr>
          <w:rStyle w:val="tlid-translation"/>
          <w:rFonts w:ascii="Arial" w:hAnsi="Arial" w:cs="Arial"/>
          <w:sz w:val="24"/>
          <w:szCs w:val="24"/>
        </w:rPr>
        <w:t>violazioni dei loro diritti garantite dalla Convenzione, prima di dover attuare il meccanismo di denuncia internazionale dinanzi alla Corte</w:t>
      </w:r>
      <w:r w:rsidRPr="00150775">
        <w:rPr>
          <w:rFonts w:ascii="Arial" w:hAnsi="Arial" w:cs="Arial"/>
          <w:sz w:val="24"/>
          <w:szCs w:val="24"/>
        </w:rPr>
        <w:br/>
      </w:r>
      <w:r w:rsidRPr="00150775">
        <w:rPr>
          <w:rStyle w:val="tlid-translation"/>
          <w:rFonts w:ascii="Arial" w:hAnsi="Arial" w:cs="Arial"/>
          <w:sz w:val="24"/>
          <w:szCs w:val="24"/>
        </w:rPr>
        <w:t>(</w:t>
      </w:r>
      <w:proofErr w:type="spellStart"/>
      <w:r w:rsidRPr="00150775">
        <w:rPr>
          <w:rStyle w:val="tlid-translation"/>
          <w:rFonts w:ascii="Arial" w:hAnsi="Arial" w:cs="Arial"/>
          <w:sz w:val="24"/>
          <w:szCs w:val="24"/>
        </w:rPr>
        <w:t>Kudła</w:t>
      </w:r>
      <w:proofErr w:type="spellEnd"/>
      <w:r w:rsidRPr="00150775">
        <w:rPr>
          <w:rStyle w:val="tlid-translation"/>
          <w:rFonts w:ascii="Arial" w:hAnsi="Arial" w:cs="Arial"/>
          <w:sz w:val="24"/>
          <w:szCs w:val="24"/>
        </w:rPr>
        <w:t xml:space="preserve"> v. Poland [GC], No. 30210/96, § 152, ECHR 2000-XI).</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176. Alla luce delle conclusioni raggiunte riguardo a l'esistenza di rimedi efficaci ed efficaci da sollevare, dinanzi alle autorità nazionali, reclami relativi all'impossibilità ottenere misure per garantire l'autorizzazione delle aree interessate da emissioni nocive dall'impianto Ilva (cfr. paragrafi 110 e segg. sopra), la Corte considera che deve essere concluso che c'è stata una violazione di</w:t>
      </w:r>
      <w:r>
        <w:rPr>
          <w:rStyle w:val="tlid-translation"/>
          <w:rFonts w:ascii="Arial" w:hAnsi="Arial" w:cs="Arial"/>
          <w:sz w:val="24"/>
          <w:szCs w:val="24"/>
        </w:rPr>
        <w:t xml:space="preserve"> </w:t>
      </w:r>
      <w:r w:rsidRPr="00150775">
        <w:rPr>
          <w:rStyle w:val="tlid-translation"/>
          <w:rFonts w:ascii="Arial" w:hAnsi="Arial" w:cs="Arial"/>
          <w:sz w:val="24"/>
          <w:szCs w:val="24"/>
        </w:rPr>
        <w:t>Articolo 13 della Convenzione in questo caso (Di Sarno, citata sopra, §§ 116-118).</w:t>
      </w:r>
    </w:p>
    <w:p w:rsidR="005F1DFD" w:rsidRDefault="005F1DFD" w:rsidP="005F1DFD">
      <w:pPr>
        <w:spacing w:after="120"/>
        <w:jc w:val="both"/>
        <w:rPr>
          <w:rStyle w:val="tlid-translation"/>
          <w:rFonts w:ascii="Arial" w:hAnsi="Arial" w:cs="Arial"/>
          <w:b/>
          <w:sz w:val="24"/>
          <w:szCs w:val="24"/>
        </w:rPr>
      </w:pPr>
      <w:r w:rsidRPr="000F3BE4">
        <w:rPr>
          <w:rStyle w:val="tlid-translation"/>
          <w:rFonts w:ascii="Arial" w:hAnsi="Arial" w:cs="Arial"/>
          <w:b/>
          <w:sz w:val="24"/>
          <w:szCs w:val="24"/>
        </w:rPr>
        <w:t>III. APPLICAZIONE DELL'ARTICOLO 46 DELLA CONVENZIONE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lastRenderedPageBreak/>
        <w:t xml:space="preserve">177. Le ricorrenti nella domanda n. 54264/15 chiedono l'applicazione di la procedura del giudizio pilota, tenendo conto del numero di persone </w:t>
      </w:r>
      <w:r>
        <w:rPr>
          <w:rStyle w:val="tlid-translation"/>
          <w:rFonts w:ascii="Arial" w:hAnsi="Arial" w:cs="Arial"/>
          <w:sz w:val="24"/>
          <w:szCs w:val="24"/>
        </w:rPr>
        <w:t>potenzialmente interessate</w:t>
      </w:r>
      <w:r w:rsidRPr="00150775">
        <w:rPr>
          <w:rStyle w:val="tlid-translation"/>
          <w:rFonts w:ascii="Arial" w:hAnsi="Arial" w:cs="Arial"/>
          <w:sz w:val="24"/>
          <w:szCs w:val="24"/>
        </w:rPr>
        <w:t xml:space="preserve"> dalla situazione in questione. Chiedono in particolare che le autorità italiane adottino tutte le misure</w:t>
      </w:r>
      <w:r>
        <w:rPr>
          <w:rStyle w:val="tlid-translation"/>
          <w:rFonts w:ascii="Arial" w:hAnsi="Arial" w:cs="Arial"/>
          <w:sz w:val="24"/>
          <w:szCs w:val="24"/>
        </w:rPr>
        <w:t>, i</w:t>
      </w:r>
      <w:r w:rsidRPr="00150775">
        <w:rPr>
          <w:rStyle w:val="tlid-translation"/>
          <w:rFonts w:ascii="Arial" w:hAnsi="Arial" w:cs="Arial"/>
          <w:sz w:val="24"/>
          <w:szCs w:val="24"/>
        </w:rPr>
        <w:t xml:space="preserve"> provvedimenti legislativi e amministrativi al fine, da un lato, di cessare le attività l'origine delle violazioni che </w:t>
      </w:r>
      <w:r>
        <w:rPr>
          <w:rStyle w:val="tlid-translation"/>
          <w:rFonts w:ascii="Arial" w:hAnsi="Arial" w:cs="Arial"/>
          <w:sz w:val="24"/>
          <w:szCs w:val="24"/>
        </w:rPr>
        <w:t>hanno segnalato</w:t>
      </w:r>
      <w:r w:rsidRPr="00150775">
        <w:rPr>
          <w:rStyle w:val="tlid-translation"/>
          <w:rFonts w:ascii="Arial" w:hAnsi="Arial" w:cs="Arial"/>
          <w:sz w:val="24"/>
          <w:szCs w:val="24"/>
        </w:rPr>
        <w:t xml:space="preserve"> e, d'altra parte, eliminare </w:t>
      </w:r>
      <w:r>
        <w:rPr>
          <w:rStyle w:val="tlid-translation"/>
          <w:rFonts w:ascii="Arial" w:hAnsi="Arial" w:cs="Arial"/>
          <w:sz w:val="24"/>
          <w:szCs w:val="24"/>
        </w:rPr>
        <w:t>le</w:t>
      </w:r>
      <w:r w:rsidRPr="00150775">
        <w:rPr>
          <w:rStyle w:val="tlid-translation"/>
          <w:rFonts w:ascii="Arial" w:hAnsi="Arial" w:cs="Arial"/>
          <w:sz w:val="24"/>
          <w:szCs w:val="24"/>
        </w:rPr>
        <w:t xml:space="preserve"> </w:t>
      </w:r>
      <w:r>
        <w:rPr>
          <w:rStyle w:val="tlid-translation"/>
          <w:rFonts w:ascii="Arial" w:hAnsi="Arial" w:cs="Arial"/>
          <w:sz w:val="24"/>
          <w:szCs w:val="24"/>
        </w:rPr>
        <w:t>conseguenze derivanti dalle stesse</w:t>
      </w:r>
      <w:r w:rsidRPr="00150775">
        <w:rPr>
          <w:rStyle w:val="tlid-translation"/>
          <w:rFonts w:ascii="Arial" w:hAnsi="Arial" w:cs="Arial"/>
          <w:sz w:val="24"/>
          <w:szCs w:val="24"/>
        </w:rPr>
        <w:t xml:space="preserve">. </w:t>
      </w:r>
      <w:r>
        <w:rPr>
          <w:rStyle w:val="tlid-translation"/>
          <w:rFonts w:ascii="Arial" w:hAnsi="Arial" w:cs="Arial"/>
          <w:sz w:val="24"/>
          <w:szCs w:val="24"/>
        </w:rPr>
        <w:t>I</w:t>
      </w:r>
      <w:r w:rsidRPr="00150775">
        <w:rPr>
          <w:rStyle w:val="tlid-translation"/>
          <w:rFonts w:ascii="Arial" w:hAnsi="Arial" w:cs="Arial"/>
          <w:sz w:val="24"/>
          <w:szCs w:val="24"/>
        </w:rPr>
        <w:t xml:space="preserve"> ricorrenti chiedono in particolare che le autorità nazionali procedano alla sospensione immediata di l'attività più inquinante (cioè l'attività di sei settori di Stabilimento) e l'istituzione di un piano di decontaminazione per la fabbrica e la regione adiacente.</w:t>
      </w:r>
      <w:r w:rsidRPr="00150775">
        <w:rPr>
          <w:rFonts w:ascii="Arial" w:hAnsi="Arial" w:cs="Arial"/>
          <w:sz w:val="24"/>
          <w:szCs w:val="24"/>
        </w:rPr>
        <w:br/>
      </w:r>
      <w:r w:rsidRPr="00150775">
        <w:rPr>
          <w:rStyle w:val="tlid-translation"/>
          <w:rFonts w:ascii="Arial" w:hAnsi="Arial" w:cs="Arial"/>
          <w:sz w:val="24"/>
          <w:szCs w:val="24"/>
        </w:rPr>
        <w:t>178. Il Governo contest</w:t>
      </w:r>
      <w:r>
        <w:rPr>
          <w:rStyle w:val="tlid-translation"/>
          <w:rFonts w:ascii="Arial" w:hAnsi="Arial" w:cs="Arial"/>
          <w:sz w:val="24"/>
          <w:szCs w:val="24"/>
        </w:rPr>
        <w:t>a</w:t>
      </w:r>
      <w:r w:rsidRPr="00150775">
        <w:rPr>
          <w:rStyle w:val="tlid-translation"/>
          <w:rFonts w:ascii="Arial" w:hAnsi="Arial" w:cs="Arial"/>
          <w:sz w:val="24"/>
          <w:szCs w:val="24"/>
        </w:rPr>
        <w:t xml:space="preserve"> questa richiesta e afferm</w:t>
      </w:r>
      <w:r>
        <w:rPr>
          <w:rStyle w:val="tlid-translation"/>
          <w:rFonts w:ascii="Arial" w:hAnsi="Arial" w:cs="Arial"/>
          <w:sz w:val="24"/>
          <w:szCs w:val="24"/>
        </w:rPr>
        <w:t>a</w:t>
      </w:r>
      <w:r w:rsidRPr="00150775">
        <w:rPr>
          <w:rStyle w:val="tlid-translation"/>
          <w:rFonts w:ascii="Arial" w:hAnsi="Arial" w:cs="Arial"/>
          <w:sz w:val="24"/>
          <w:szCs w:val="24"/>
        </w:rPr>
        <w:t xml:space="preserve"> che lo aveva già fatto adottato tutte le misure necessarie per affrontare le conseguenze impatto ambientale dell'attivit</w:t>
      </w:r>
      <w:r>
        <w:rPr>
          <w:rStyle w:val="tlid-translation"/>
          <w:rFonts w:ascii="Arial" w:hAnsi="Arial" w:cs="Arial"/>
          <w:sz w:val="24"/>
          <w:szCs w:val="24"/>
        </w:rPr>
        <w:t xml:space="preserve">à di Ilva. Sostiene anche che </w:t>
      </w:r>
      <w:r w:rsidRPr="00150775">
        <w:rPr>
          <w:rStyle w:val="tlid-translation"/>
          <w:rFonts w:ascii="Arial" w:hAnsi="Arial" w:cs="Arial"/>
          <w:sz w:val="24"/>
          <w:szCs w:val="24"/>
        </w:rPr>
        <w:t xml:space="preserve"> la soluzione di questo p</w:t>
      </w:r>
      <w:r>
        <w:rPr>
          <w:rStyle w:val="tlid-translation"/>
          <w:rFonts w:ascii="Arial" w:hAnsi="Arial" w:cs="Arial"/>
          <w:sz w:val="24"/>
          <w:szCs w:val="24"/>
        </w:rPr>
        <w:t>roblema ambientale coinvolge una conoscenza del</w:t>
      </w:r>
      <w:r w:rsidRPr="00150775">
        <w:rPr>
          <w:rStyle w:val="tlid-translation"/>
          <w:rFonts w:ascii="Arial" w:hAnsi="Arial" w:cs="Arial"/>
          <w:sz w:val="24"/>
          <w:szCs w:val="24"/>
        </w:rPr>
        <w:t xml:space="preserve"> contesto </w:t>
      </w:r>
      <w:r>
        <w:rPr>
          <w:rStyle w:val="tlid-translation"/>
          <w:rFonts w:ascii="Arial" w:hAnsi="Arial" w:cs="Arial"/>
          <w:sz w:val="24"/>
          <w:szCs w:val="24"/>
        </w:rPr>
        <w:t xml:space="preserve">territoriale </w:t>
      </w:r>
      <w:r w:rsidRPr="00150775">
        <w:rPr>
          <w:rStyle w:val="tlid-translation"/>
          <w:rFonts w:ascii="Arial" w:hAnsi="Arial" w:cs="Arial"/>
          <w:sz w:val="24"/>
          <w:szCs w:val="24"/>
        </w:rPr>
        <w:t xml:space="preserve">che può essere </w:t>
      </w:r>
      <w:r>
        <w:rPr>
          <w:rStyle w:val="tlid-translation"/>
          <w:rFonts w:ascii="Arial" w:hAnsi="Arial" w:cs="Arial"/>
          <w:sz w:val="24"/>
          <w:szCs w:val="24"/>
        </w:rPr>
        <w:t>valutato s</w:t>
      </w:r>
      <w:r w:rsidRPr="00150775">
        <w:rPr>
          <w:rStyle w:val="tlid-translation"/>
          <w:rFonts w:ascii="Arial" w:hAnsi="Arial" w:cs="Arial"/>
          <w:sz w:val="24"/>
          <w:szCs w:val="24"/>
        </w:rPr>
        <w:t>olo dallo Stato stesso.</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179. La Corte ricorda che una sentenza che ha riscontrato una violazione di </w:t>
      </w:r>
      <w:r>
        <w:rPr>
          <w:rStyle w:val="tlid-translation"/>
          <w:rFonts w:ascii="Arial" w:hAnsi="Arial" w:cs="Arial"/>
          <w:sz w:val="24"/>
          <w:szCs w:val="24"/>
        </w:rPr>
        <w:t>una</w:t>
      </w:r>
      <w:r w:rsidRPr="00150775">
        <w:rPr>
          <w:rStyle w:val="tlid-translation"/>
          <w:rFonts w:ascii="Arial" w:hAnsi="Arial" w:cs="Arial"/>
          <w:sz w:val="24"/>
          <w:szCs w:val="24"/>
        </w:rPr>
        <w:t xml:space="preserve"> convenzione comporta per lo Stato convenuto un obbligo legale a non farlo solo per pagare alle persone interessate le somme soddisfazione, ma anche di </w:t>
      </w:r>
      <w:r>
        <w:rPr>
          <w:rStyle w:val="tlid-translation"/>
          <w:rFonts w:ascii="Arial" w:hAnsi="Arial" w:cs="Arial"/>
          <w:sz w:val="24"/>
          <w:szCs w:val="24"/>
        </w:rPr>
        <w:t>individuare,</w:t>
      </w:r>
      <w:r w:rsidRPr="00150775">
        <w:rPr>
          <w:rStyle w:val="tlid-translation"/>
          <w:rFonts w:ascii="Arial" w:hAnsi="Arial" w:cs="Arial"/>
          <w:sz w:val="24"/>
          <w:szCs w:val="24"/>
        </w:rPr>
        <w:t xml:space="preserve"> sotto la supervisione del Comitato di</w:t>
      </w:r>
      <w:r>
        <w:rPr>
          <w:rStyle w:val="tlid-translation"/>
          <w:rFonts w:ascii="Arial" w:hAnsi="Arial" w:cs="Arial"/>
          <w:sz w:val="24"/>
          <w:szCs w:val="24"/>
        </w:rPr>
        <w:t xml:space="preserve"> </w:t>
      </w:r>
      <w:r w:rsidRPr="00150775">
        <w:rPr>
          <w:rStyle w:val="tlid-translation"/>
          <w:rFonts w:ascii="Arial" w:hAnsi="Arial" w:cs="Arial"/>
          <w:sz w:val="24"/>
          <w:szCs w:val="24"/>
        </w:rPr>
        <w:t>Ministri, le misure generali da adottare nel proprio ordinamento giuridico interno</w:t>
      </w:r>
      <w:r>
        <w:rPr>
          <w:rStyle w:val="tlid-translation"/>
          <w:rFonts w:ascii="Arial" w:hAnsi="Arial" w:cs="Arial"/>
          <w:sz w:val="24"/>
          <w:szCs w:val="24"/>
        </w:rPr>
        <w:t xml:space="preserve"> per</w:t>
      </w:r>
      <w:r w:rsidRPr="00150775">
        <w:rPr>
          <w:rStyle w:val="tlid-translation"/>
          <w:rFonts w:ascii="Arial" w:hAnsi="Arial" w:cs="Arial"/>
          <w:sz w:val="24"/>
          <w:szCs w:val="24"/>
        </w:rPr>
        <w:t xml:space="preserve"> porre fine alla violazione </w:t>
      </w:r>
      <w:r>
        <w:rPr>
          <w:rStyle w:val="tlid-translation"/>
          <w:rFonts w:ascii="Arial" w:hAnsi="Arial" w:cs="Arial"/>
          <w:sz w:val="24"/>
          <w:szCs w:val="24"/>
        </w:rPr>
        <w:t xml:space="preserve">individuata </w:t>
      </w:r>
      <w:r w:rsidRPr="00150775">
        <w:rPr>
          <w:rStyle w:val="tlid-translation"/>
          <w:rFonts w:ascii="Arial" w:hAnsi="Arial" w:cs="Arial"/>
          <w:sz w:val="24"/>
          <w:szCs w:val="24"/>
        </w:rPr>
        <w:t>dalla Corte e</w:t>
      </w:r>
      <w:r>
        <w:rPr>
          <w:rStyle w:val="tlid-translation"/>
          <w:rFonts w:ascii="Arial" w:hAnsi="Arial" w:cs="Arial"/>
          <w:sz w:val="24"/>
          <w:szCs w:val="24"/>
        </w:rPr>
        <w:t xml:space="preserve">d eliminare, per quanto possibile, </w:t>
      </w:r>
      <w:r w:rsidRPr="00150775">
        <w:rPr>
          <w:rStyle w:val="tlid-translation"/>
          <w:rFonts w:ascii="Arial" w:hAnsi="Arial" w:cs="Arial"/>
          <w:sz w:val="24"/>
          <w:szCs w:val="24"/>
        </w:rPr>
        <w:t xml:space="preserve">le conseguenze. Appartiene  principalmente allo </w:t>
      </w:r>
      <w:r>
        <w:rPr>
          <w:rStyle w:val="tlid-translation"/>
          <w:rFonts w:ascii="Arial" w:hAnsi="Arial" w:cs="Arial"/>
          <w:sz w:val="24"/>
          <w:szCs w:val="24"/>
        </w:rPr>
        <w:t>S</w:t>
      </w:r>
      <w:r w:rsidRPr="00150775">
        <w:rPr>
          <w:rStyle w:val="tlid-translation"/>
          <w:rFonts w:ascii="Arial" w:hAnsi="Arial" w:cs="Arial"/>
          <w:sz w:val="24"/>
          <w:szCs w:val="24"/>
        </w:rPr>
        <w:t xml:space="preserve">tato scegliere, con il controllo del Comitato dei Ministri, </w:t>
      </w:r>
      <w:r>
        <w:rPr>
          <w:rStyle w:val="tlid-translation"/>
          <w:rFonts w:ascii="Arial" w:hAnsi="Arial" w:cs="Arial"/>
          <w:sz w:val="24"/>
          <w:szCs w:val="24"/>
        </w:rPr>
        <w:t>nell’ambito dell’</w:t>
      </w:r>
      <w:r w:rsidRPr="00150775">
        <w:rPr>
          <w:rStyle w:val="tlid-translation"/>
          <w:rFonts w:ascii="Arial" w:hAnsi="Arial" w:cs="Arial"/>
          <w:sz w:val="24"/>
          <w:szCs w:val="24"/>
        </w:rPr>
        <w:t xml:space="preserve">ordinamento giuridico </w:t>
      </w:r>
      <w:r>
        <w:rPr>
          <w:rStyle w:val="tlid-translation"/>
          <w:rFonts w:ascii="Arial" w:hAnsi="Arial" w:cs="Arial"/>
          <w:sz w:val="24"/>
          <w:szCs w:val="24"/>
        </w:rPr>
        <w:t>nazionale il modo</w:t>
      </w:r>
      <w:r w:rsidRPr="00150775">
        <w:rPr>
          <w:rStyle w:val="tlid-translation"/>
          <w:rFonts w:ascii="Arial" w:hAnsi="Arial" w:cs="Arial"/>
          <w:sz w:val="24"/>
          <w:szCs w:val="24"/>
        </w:rPr>
        <w:t xml:space="preserve"> per</w:t>
      </w:r>
      <w:r>
        <w:rPr>
          <w:rStyle w:val="tlid-translation"/>
          <w:rFonts w:ascii="Arial" w:hAnsi="Arial" w:cs="Arial"/>
          <w:sz w:val="24"/>
          <w:szCs w:val="24"/>
        </w:rPr>
        <w:t xml:space="preserve"> attuare</w:t>
      </w:r>
      <w:r w:rsidRPr="00150775">
        <w:rPr>
          <w:rStyle w:val="tlid-translation"/>
          <w:rFonts w:ascii="Arial" w:hAnsi="Arial" w:cs="Arial"/>
          <w:sz w:val="24"/>
          <w:szCs w:val="24"/>
        </w:rPr>
        <w:t xml:space="preserve"> </w:t>
      </w:r>
      <w:r>
        <w:rPr>
          <w:rStyle w:val="tlid-translation"/>
          <w:rFonts w:ascii="Arial" w:hAnsi="Arial" w:cs="Arial"/>
          <w:sz w:val="24"/>
          <w:szCs w:val="24"/>
        </w:rPr>
        <w:t>l’</w:t>
      </w:r>
      <w:r w:rsidRPr="00150775">
        <w:rPr>
          <w:rStyle w:val="tlid-translation"/>
          <w:rFonts w:ascii="Arial" w:hAnsi="Arial" w:cs="Arial"/>
          <w:sz w:val="24"/>
          <w:szCs w:val="24"/>
        </w:rPr>
        <w:t>obbligo previsto dall'articolo 46 della Convenzione. Tuttavia, per aiutare</w:t>
      </w:r>
      <w:r>
        <w:rPr>
          <w:rStyle w:val="tlid-translation"/>
          <w:rFonts w:ascii="Arial" w:hAnsi="Arial" w:cs="Arial"/>
          <w:sz w:val="24"/>
          <w:szCs w:val="24"/>
        </w:rPr>
        <w:t xml:space="preserve"> lo</w:t>
      </w:r>
      <w:r w:rsidRPr="00150775">
        <w:rPr>
          <w:rStyle w:val="tlid-translation"/>
          <w:rFonts w:ascii="Arial" w:hAnsi="Arial" w:cs="Arial"/>
          <w:sz w:val="24"/>
          <w:szCs w:val="24"/>
        </w:rPr>
        <w:t xml:space="preserve"> Stato convenuto </w:t>
      </w:r>
      <w:r>
        <w:rPr>
          <w:rStyle w:val="tlid-translation"/>
          <w:rFonts w:ascii="Arial" w:hAnsi="Arial" w:cs="Arial"/>
          <w:sz w:val="24"/>
          <w:szCs w:val="24"/>
        </w:rPr>
        <w:t>ad</w:t>
      </w:r>
      <w:r w:rsidRPr="00150775">
        <w:rPr>
          <w:rStyle w:val="tlid-translation"/>
          <w:rFonts w:ascii="Arial" w:hAnsi="Arial" w:cs="Arial"/>
          <w:sz w:val="24"/>
          <w:szCs w:val="24"/>
        </w:rPr>
        <w:t xml:space="preserve"> adempiere ai propri obblighi ai sensi dell'articolo 46, la Corte può cercare di indicar</w:t>
      </w:r>
      <w:r>
        <w:rPr>
          <w:rStyle w:val="tlid-translation"/>
          <w:rFonts w:ascii="Arial" w:hAnsi="Arial" w:cs="Arial"/>
          <w:sz w:val="24"/>
          <w:szCs w:val="24"/>
        </w:rPr>
        <w:t xml:space="preserve">e </w:t>
      </w:r>
      <w:r w:rsidRPr="00150775">
        <w:rPr>
          <w:rStyle w:val="tlid-translation"/>
          <w:rFonts w:ascii="Arial" w:hAnsi="Arial" w:cs="Arial"/>
          <w:sz w:val="24"/>
          <w:szCs w:val="24"/>
        </w:rPr>
        <w:t xml:space="preserve">il tipo di misure generali che potrebbe prendere per porre fine alla situazione </w:t>
      </w:r>
      <w:r>
        <w:rPr>
          <w:rStyle w:val="tlid-translation"/>
          <w:rFonts w:ascii="Arial" w:hAnsi="Arial" w:cs="Arial"/>
          <w:sz w:val="24"/>
          <w:szCs w:val="24"/>
        </w:rPr>
        <w:t>riscontrata</w:t>
      </w:r>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Broniowski</w:t>
      </w:r>
      <w:proofErr w:type="spellEnd"/>
      <w:r w:rsidRPr="00150775">
        <w:rPr>
          <w:rStyle w:val="tlid-translation"/>
          <w:rFonts w:ascii="Arial" w:hAnsi="Arial" w:cs="Arial"/>
          <w:sz w:val="24"/>
          <w:szCs w:val="24"/>
        </w:rPr>
        <w:t xml:space="preserve"> c. Polonia [GC], No. 31443/96, § 194, ECHR 2004-V; Scoppola c. Italia (N. 2) [GC], No. 10249/03, § 148, 17 settembre 2009 e </w:t>
      </w:r>
      <w:proofErr w:type="spellStart"/>
      <w:r w:rsidRPr="00150775">
        <w:rPr>
          <w:rStyle w:val="tlid-translation"/>
          <w:rFonts w:ascii="Arial" w:hAnsi="Arial" w:cs="Arial"/>
          <w:sz w:val="24"/>
          <w:szCs w:val="24"/>
        </w:rPr>
        <w:t>Volokitin</w:t>
      </w:r>
      <w:proofErr w:type="spellEnd"/>
      <w:r w:rsidRPr="00150775">
        <w:rPr>
          <w:rStyle w:val="tlid-translation"/>
          <w:rFonts w:ascii="Arial" w:hAnsi="Arial" w:cs="Arial"/>
          <w:sz w:val="24"/>
          <w:szCs w:val="24"/>
        </w:rPr>
        <w:t xml:space="preserve"> e altri</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c. Russia, </w:t>
      </w:r>
      <w:proofErr w:type="spellStart"/>
      <w:r w:rsidRPr="00150775">
        <w:rPr>
          <w:rStyle w:val="tlid-translation"/>
          <w:rFonts w:ascii="Arial" w:hAnsi="Arial" w:cs="Arial"/>
          <w:sz w:val="24"/>
          <w:szCs w:val="24"/>
        </w:rPr>
        <w:t>nn</w:t>
      </w:r>
      <w:proofErr w:type="spellEnd"/>
      <w:r w:rsidRPr="00150775">
        <w:rPr>
          <w:rStyle w:val="tlid-translation"/>
          <w:rFonts w:ascii="Arial" w:hAnsi="Arial" w:cs="Arial"/>
          <w:sz w:val="24"/>
          <w:szCs w:val="24"/>
        </w:rPr>
        <w:t>. 74087/10 e 13 altri, § 46, 3 luglio 2018).</w:t>
      </w:r>
      <w:r w:rsidRPr="00150775">
        <w:rPr>
          <w:rFonts w:ascii="Arial" w:hAnsi="Arial" w:cs="Arial"/>
          <w:sz w:val="24"/>
          <w:szCs w:val="24"/>
        </w:rPr>
        <w:br/>
      </w:r>
      <w:r w:rsidRPr="00150775">
        <w:rPr>
          <w:rStyle w:val="tlid-translation"/>
          <w:rFonts w:ascii="Arial" w:hAnsi="Arial" w:cs="Arial"/>
          <w:sz w:val="24"/>
          <w:szCs w:val="24"/>
        </w:rPr>
        <w:t>180. Alla luce di questi p</w:t>
      </w:r>
      <w:r>
        <w:rPr>
          <w:rStyle w:val="tlid-translation"/>
          <w:rFonts w:ascii="Arial" w:hAnsi="Arial" w:cs="Arial"/>
          <w:sz w:val="24"/>
          <w:szCs w:val="24"/>
        </w:rPr>
        <w:t xml:space="preserve">rincipi, tenendo conto di tutte le </w:t>
      </w:r>
      <w:r w:rsidRPr="00150775">
        <w:rPr>
          <w:rStyle w:val="tlid-translation"/>
          <w:rFonts w:ascii="Arial" w:hAnsi="Arial" w:cs="Arial"/>
          <w:sz w:val="24"/>
          <w:szCs w:val="24"/>
        </w:rPr>
        <w:t xml:space="preserve">circostanze di questo caso e in particolare della complessità tecnica </w:t>
      </w:r>
      <w:r>
        <w:rPr>
          <w:rStyle w:val="tlid-translation"/>
          <w:rFonts w:ascii="Arial" w:hAnsi="Arial" w:cs="Arial"/>
          <w:sz w:val="24"/>
          <w:szCs w:val="24"/>
        </w:rPr>
        <w:t xml:space="preserve">delle </w:t>
      </w:r>
      <w:r w:rsidRPr="00150775">
        <w:rPr>
          <w:rStyle w:val="tlid-translation"/>
          <w:rFonts w:ascii="Arial" w:hAnsi="Arial" w:cs="Arial"/>
          <w:sz w:val="24"/>
          <w:szCs w:val="24"/>
        </w:rPr>
        <w:t xml:space="preserve">misure necessarie per il risanamento della zona interessata, che è giurisdizione delle autorità nazionali, la Corte ritiene che non sia necessario applicare la procedura di giudizio del pilota (cfr., </w:t>
      </w:r>
      <w:proofErr w:type="spellStart"/>
      <w:r w:rsidRPr="00150775">
        <w:rPr>
          <w:rStyle w:val="tlid-translation"/>
          <w:rFonts w:ascii="Arial" w:hAnsi="Arial" w:cs="Arial"/>
          <w:sz w:val="24"/>
          <w:szCs w:val="24"/>
        </w:rPr>
        <w:t>mutatis</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mutandis</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Lakatos</w:t>
      </w:r>
      <w:proofErr w:type="spellEnd"/>
      <w:r w:rsidRPr="00150775">
        <w:rPr>
          <w:rStyle w:val="tlid-translation"/>
          <w:rFonts w:ascii="Arial" w:hAnsi="Arial" w:cs="Arial"/>
          <w:sz w:val="24"/>
          <w:szCs w:val="24"/>
        </w:rPr>
        <w:t xml:space="preserve"> c. Ungheria, n. 21786/15, §§ 89-91, 26 giugno 2018).</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181. Non è compito della Corte </w:t>
      </w:r>
      <w:r>
        <w:rPr>
          <w:rStyle w:val="tlid-translation"/>
          <w:rFonts w:ascii="Arial" w:hAnsi="Arial" w:cs="Arial"/>
          <w:sz w:val="24"/>
          <w:szCs w:val="24"/>
        </w:rPr>
        <w:t>indicare al</w:t>
      </w:r>
      <w:r w:rsidRPr="00150775">
        <w:rPr>
          <w:rStyle w:val="tlid-translation"/>
          <w:rFonts w:ascii="Arial" w:hAnsi="Arial" w:cs="Arial"/>
          <w:sz w:val="24"/>
          <w:szCs w:val="24"/>
        </w:rPr>
        <w:t xml:space="preserve"> governo Raccomandazioni dettagliate e prescrittive, come quelle indicato dai ricorrenti. Spetta al Comitato dei Ministri, che agisce Articolo 46 della Convenzione, che </w:t>
      </w:r>
      <w:r>
        <w:rPr>
          <w:rStyle w:val="tlid-translation"/>
          <w:rFonts w:ascii="Arial" w:hAnsi="Arial" w:cs="Arial"/>
          <w:sz w:val="24"/>
          <w:szCs w:val="24"/>
        </w:rPr>
        <w:t xml:space="preserve">può indicare </w:t>
      </w:r>
      <w:r w:rsidRPr="00150775">
        <w:rPr>
          <w:rStyle w:val="tlid-translation"/>
          <w:rFonts w:ascii="Arial" w:hAnsi="Arial" w:cs="Arial"/>
          <w:sz w:val="24"/>
          <w:szCs w:val="24"/>
        </w:rPr>
        <w:t xml:space="preserve">al Governo le misure che, in termini pratici, devono essere adottato </w:t>
      </w:r>
      <w:r>
        <w:rPr>
          <w:rStyle w:val="tlid-translation"/>
          <w:rFonts w:ascii="Arial" w:hAnsi="Arial" w:cs="Arial"/>
          <w:sz w:val="24"/>
          <w:szCs w:val="24"/>
        </w:rPr>
        <w:t xml:space="preserve">per garantire l'esecuzione del presente </w:t>
      </w:r>
      <w:r w:rsidRPr="00150775">
        <w:rPr>
          <w:rStyle w:val="tlid-translation"/>
          <w:rFonts w:ascii="Arial" w:hAnsi="Arial" w:cs="Arial"/>
          <w:sz w:val="24"/>
          <w:szCs w:val="24"/>
        </w:rPr>
        <w:t>giudizio.</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182. In tale contesto, va comunque sottolineato che</w:t>
      </w:r>
      <w:r>
        <w:rPr>
          <w:rStyle w:val="tlid-translation"/>
          <w:rFonts w:ascii="Arial" w:hAnsi="Arial" w:cs="Arial"/>
          <w:sz w:val="24"/>
          <w:szCs w:val="24"/>
        </w:rPr>
        <w:t xml:space="preserve"> la</w:t>
      </w:r>
      <w:r w:rsidRPr="00150775">
        <w:rPr>
          <w:rStyle w:val="tlid-translation"/>
          <w:rFonts w:ascii="Arial" w:hAnsi="Arial" w:cs="Arial"/>
          <w:sz w:val="24"/>
          <w:szCs w:val="24"/>
        </w:rPr>
        <w:t xml:space="preserve"> bonifica dell'impianto e del territorio interessato dall'inquinamento le questioni ambientali sono di fondamentale importanza (vedi, </w:t>
      </w:r>
      <w:proofErr w:type="spellStart"/>
      <w:r w:rsidRPr="00150775">
        <w:rPr>
          <w:rStyle w:val="tlid-translation"/>
          <w:rFonts w:ascii="Arial" w:hAnsi="Arial" w:cs="Arial"/>
          <w:sz w:val="24"/>
          <w:szCs w:val="24"/>
        </w:rPr>
        <w:t>mutatis</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mutandis</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Torreggiani</w:t>
      </w:r>
      <w:proofErr w:type="spellEnd"/>
      <w:r w:rsidRPr="00150775">
        <w:rPr>
          <w:rStyle w:val="tlid-translation"/>
          <w:rFonts w:ascii="Arial" w:hAnsi="Arial" w:cs="Arial"/>
          <w:sz w:val="24"/>
          <w:szCs w:val="24"/>
        </w:rPr>
        <w:t xml:space="preserve"> e altri v. Italia, nostro 43517/09 e altri 6, § 99,</w:t>
      </w:r>
      <w:r w:rsidRPr="00150775">
        <w:rPr>
          <w:rFonts w:ascii="Arial" w:hAnsi="Arial" w:cs="Arial"/>
          <w:sz w:val="24"/>
          <w:szCs w:val="24"/>
        </w:rPr>
        <w:br/>
      </w:r>
      <w:r w:rsidRPr="00150775">
        <w:rPr>
          <w:rStyle w:val="tlid-translation"/>
          <w:rFonts w:ascii="Arial" w:hAnsi="Arial" w:cs="Arial"/>
          <w:sz w:val="24"/>
          <w:szCs w:val="24"/>
        </w:rPr>
        <w:t xml:space="preserve">8 gennaio 2013). Quindi, il piano ambientale approvato dalle autorità </w:t>
      </w:r>
      <w:r>
        <w:rPr>
          <w:rStyle w:val="tlid-translation"/>
          <w:rFonts w:ascii="Arial" w:hAnsi="Arial" w:cs="Arial"/>
          <w:sz w:val="24"/>
          <w:szCs w:val="24"/>
        </w:rPr>
        <w:t xml:space="preserve">a </w:t>
      </w:r>
      <w:r w:rsidRPr="00150775">
        <w:rPr>
          <w:rStyle w:val="tlid-translation"/>
          <w:rFonts w:ascii="Arial" w:hAnsi="Arial" w:cs="Arial"/>
          <w:sz w:val="24"/>
          <w:szCs w:val="24"/>
        </w:rPr>
        <w:t xml:space="preserve">livello nazionale </w:t>
      </w:r>
      <w:r>
        <w:rPr>
          <w:rStyle w:val="tlid-translation"/>
          <w:rFonts w:ascii="Arial" w:hAnsi="Arial" w:cs="Arial"/>
          <w:sz w:val="24"/>
          <w:szCs w:val="24"/>
        </w:rPr>
        <w:t xml:space="preserve">che </w:t>
      </w:r>
      <w:r w:rsidRPr="00150775">
        <w:rPr>
          <w:rStyle w:val="tlid-translation"/>
          <w:rFonts w:ascii="Arial" w:hAnsi="Arial" w:cs="Arial"/>
          <w:sz w:val="24"/>
          <w:szCs w:val="24"/>
        </w:rPr>
        <w:t xml:space="preserve">indica le misure e le azioni necessarie a garantire la protezione dell'ambiente e della salute della popolazione, </w:t>
      </w:r>
      <w:r>
        <w:rPr>
          <w:rStyle w:val="tlid-translation"/>
          <w:rFonts w:ascii="Arial" w:hAnsi="Arial" w:cs="Arial"/>
          <w:sz w:val="24"/>
          <w:szCs w:val="24"/>
        </w:rPr>
        <w:t xml:space="preserve">deve </w:t>
      </w:r>
      <w:r w:rsidRPr="00150775">
        <w:rPr>
          <w:rStyle w:val="tlid-translation"/>
          <w:rFonts w:ascii="Arial" w:hAnsi="Arial" w:cs="Arial"/>
          <w:sz w:val="24"/>
          <w:szCs w:val="24"/>
        </w:rPr>
        <w:t xml:space="preserve">essere </w:t>
      </w:r>
      <w:r>
        <w:rPr>
          <w:rStyle w:val="tlid-translation"/>
          <w:rFonts w:ascii="Arial" w:hAnsi="Arial" w:cs="Arial"/>
          <w:sz w:val="24"/>
          <w:szCs w:val="24"/>
        </w:rPr>
        <w:t xml:space="preserve">realizzato </w:t>
      </w:r>
      <w:r w:rsidRPr="00150775">
        <w:rPr>
          <w:rStyle w:val="tlid-translation"/>
          <w:rFonts w:ascii="Arial" w:hAnsi="Arial" w:cs="Arial"/>
          <w:sz w:val="24"/>
          <w:szCs w:val="24"/>
        </w:rPr>
        <w:t>il prima possibile.</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lastRenderedPageBreak/>
        <w:br/>
      </w:r>
    </w:p>
    <w:p w:rsidR="005F1DFD" w:rsidRPr="00150775" w:rsidRDefault="005F1DFD" w:rsidP="005F1DFD">
      <w:pPr>
        <w:spacing w:after="120"/>
        <w:jc w:val="both"/>
        <w:rPr>
          <w:rStyle w:val="tlid-translation"/>
          <w:rFonts w:ascii="Arial" w:hAnsi="Arial" w:cs="Arial"/>
          <w:sz w:val="24"/>
          <w:szCs w:val="24"/>
        </w:rPr>
      </w:pPr>
      <w:r w:rsidRPr="000F3BE4">
        <w:rPr>
          <w:rStyle w:val="tlid-translation"/>
          <w:rFonts w:ascii="Arial" w:hAnsi="Arial" w:cs="Arial"/>
          <w:b/>
          <w:sz w:val="24"/>
          <w:szCs w:val="24"/>
        </w:rPr>
        <w:t>IV. APPLICAZIONE DELL'ARTICOLO 41 DELLA CONVENZIONE</w:t>
      </w:r>
      <w:r w:rsidRPr="000F3BE4">
        <w:rPr>
          <w:rFonts w:ascii="Arial" w:hAnsi="Arial" w:cs="Arial"/>
          <w:b/>
          <w:sz w:val="24"/>
          <w:szCs w:val="24"/>
        </w:rPr>
        <w:br/>
      </w:r>
      <w:r w:rsidRPr="00150775">
        <w:rPr>
          <w:rStyle w:val="tlid-translation"/>
          <w:rFonts w:ascii="Arial" w:hAnsi="Arial" w:cs="Arial"/>
          <w:sz w:val="24"/>
          <w:szCs w:val="24"/>
        </w:rPr>
        <w:t xml:space="preserve">183. Secondo l'articolo 41 della Convenzione, "Se la Corte dichiara che c'è stata una violazione della Convenzione o dei suoi Protocolli, e se la legge interna dell'Alta Parte contraente non consente la cancellazione imperfettamente le conseguenze di questa </w:t>
      </w:r>
      <w:r>
        <w:rPr>
          <w:rStyle w:val="tlid-translation"/>
          <w:rFonts w:ascii="Arial" w:hAnsi="Arial" w:cs="Arial"/>
          <w:sz w:val="24"/>
          <w:szCs w:val="24"/>
        </w:rPr>
        <w:t>violazione, la Corte concede alla parte lesa</w:t>
      </w:r>
      <w:r w:rsidRPr="00150775">
        <w:rPr>
          <w:rStyle w:val="tlid-translation"/>
          <w:rFonts w:ascii="Arial" w:hAnsi="Arial" w:cs="Arial"/>
          <w:sz w:val="24"/>
          <w:szCs w:val="24"/>
        </w:rPr>
        <w:t xml:space="preserve">, se del caso, </w:t>
      </w:r>
      <w:r>
        <w:rPr>
          <w:rStyle w:val="tlid-translation"/>
          <w:rFonts w:ascii="Arial" w:hAnsi="Arial" w:cs="Arial"/>
          <w:sz w:val="24"/>
          <w:szCs w:val="24"/>
        </w:rPr>
        <w:t>un indennizzo equo.</w:t>
      </w:r>
      <w:r w:rsidRPr="00150775">
        <w:rPr>
          <w:rStyle w:val="tlid-translation"/>
          <w:rFonts w:ascii="Arial" w:hAnsi="Arial" w:cs="Arial"/>
          <w:sz w:val="24"/>
          <w:szCs w:val="24"/>
        </w:rPr>
        <w:t xml:space="preserve"> " </w:t>
      </w:r>
    </w:p>
    <w:p w:rsidR="005F1DFD" w:rsidRDefault="005F1DFD" w:rsidP="005F1DFD">
      <w:pPr>
        <w:spacing w:after="120"/>
        <w:jc w:val="both"/>
        <w:rPr>
          <w:rStyle w:val="tlid-translation"/>
          <w:rFonts w:ascii="Arial" w:hAnsi="Arial" w:cs="Arial"/>
          <w:sz w:val="24"/>
          <w:szCs w:val="24"/>
        </w:rPr>
      </w:pPr>
    </w:p>
    <w:p w:rsidR="005F1DFD" w:rsidRDefault="005F1DFD" w:rsidP="005F1DFD">
      <w:pPr>
        <w:numPr>
          <w:ilvl w:val="0"/>
          <w:numId w:val="1"/>
        </w:numPr>
        <w:spacing w:after="120"/>
        <w:jc w:val="both"/>
        <w:rPr>
          <w:rStyle w:val="tlid-translation"/>
          <w:rFonts w:ascii="Arial" w:hAnsi="Arial" w:cs="Arial"/>
          <w:b/>
          <w:sz w:val="24"/>
          <w:szCs w:val="24"/>
        </w:rPr>
      </w:pPr>
      <w:r w:rsidRPr="00D57B22">
        <w:rPr>
          <w:rStyle w:val="tlid-translation"/>
          <w:rFonts w:ascii="Arial" w:hAnsi="Arial" w:cs="Arial"/>
          <w:b/>
          <w:sz w:val="24"/>
          <w:szCs w:val="24"/>
        </w:rPr>
        <w:t>Danni</w:t>
      </w:r>
    </w:p>
    <w:p w:rsidR="005F1DFD" w:rsidRDefault="005F1DFD" w:rsidP="005F1DFD">
      <w:pPr>
        <w:spacing w:after="120"/>
        <w:ind w:left="720"/>
        <w:jc w:val="both"/>
        <w:rPr>
          <w:rStyle w:val="tlid-translation"/>
          <w:rFonts w:ascii="Arial" w:hAnsi="Arial" w:cs="Arial"/>
          <w:sz w:val="24"/>
          <w:szCs w:val="24"/>
        </w:rPr>
      </w:pPr>
      <w:r w:rsidRPr="00150775">
        <w:rPr>
          <w:rStyle w:val="tlid-translation"/>
          <w:rFonts w:ascii="Arial" w:hAnsi="Arial" w:cs="Arial"/>
          <w:sz w:val="24"/>
          <w:szCs w:val="24"/>
        </w:rPr>
        <w:t xml:space="preserve">184. </w:t>
      </w:r>
      <w:r>
        <w:rPr>
          <w:rStyle w:val="tlid-translation"/>
          <w:rFonts w:ascii="Arial" w:hAnsi="Arial" w:cs="Arial"/>
          <w:sz w:val="24"/>
          <w:szCs w:val="24"/>
        </w:rPr>
        <w:t>I</w:t>
      </w:r>
      <w:r w:rsidRPr="00150775">
        <w:rPr>
          <w:rStyle w:val="tlid-translation"/>
          <w:rFonts w:ascii="Arial" w:hAnsi="Arial" w:cs="Arial"/>
          <w:sz w:val="24"/>
          <w:szCs w:val="24"/>
        </w:rPr>
        <w:t xml:space="preserve"> ricorrenti della domanda n. 54414/13 e della domanda</w:t>
      </w:r>
      <w:r w:rsidRPr="00150775">
        <w:rPr>
          <w:rFonts w:ascii="Arial" w:hAnsi="Arial" w:cs="Arial"/>
          <w:sz w:val="24"/>
          <w:szCs w:val="24"/>
        </w:rPr>
        <w:br/>
      </w:r>
      <w:r w:rsidRPr="00150775">
        <w:rPr>
          <w:rStyle w:val="tlid-translation"/>
          <w:rFonts w:ascii="Arial" w:hAnsi="Arial" w:cs="Arial"/>
          <w:sz w:val="24"/>
          <w:szCs w:val="24"/>
        </w:rPr>
        <w:t>No. 54264/15 reclamano rispettivamente 100.000 euro (EUR) e 20.000 euro ciascuno per danno non patrimoniale.</w:t>
      </w:r>
    </w:p>
    <w:p w:rsidR="005F1DFD" w:rsidRDefault="005F1DFD" w:rsidP="005F1DFD">
      <w:pPr>
        <w:spacing w:after="120"/>
        <w:ind w:left="720"/>
        <w:jc w:val="both"/>
        <w:rPr>
          <w:rStyle w:val="tlid-translation"/>
          <w:rFonts w:ascii="Arial" w:hAnsi="Arial" w:cs="Arial"/>
          <w:sz w:val="24"/>
          <w:szCs w:val="24"/>
        </w:rPr>
      </w:pPr>
      <w:r w:rsidRPr="00150775">
        <w:rPr>
          <w:rStyle w:val="tlid-translation"/>
          <w:rFonts w:ascii="Arial" w:hAnsi="Arial" w:cs="Arial"/>
          <w:sz w:val="24"/>
          <w:szCs w:val="24"/>
        </w:rPr>
        <w:t xml:space="preserve">185. Inoltre, </w:t>
      </w:r>
      <w:r>
        <w:rPr>
          <w:rStyle w:val="tlid-translation"/>
          <w:rFonts w:ascii="Arial" w:hAnsi="Arial" w:cs="Arial"/>
          <w:sz w:val="24"/>
          <w:szCs w:val="24"/>
        </w:rPr>
        <w:t>i</w:t>
      </w:r>
      <w:r w:rsidRPr="00150775">
        <w:rPr>
          <w:rStyle w:val="tlid-translation"/>
          <w:rFonts w:ascii="Arial" w:hAnsi="Arial" w:cs="Arial"/>
          <w:sz w:val="24"/>
          <w:szCs w:val="24"/>
        </w:rPr>
        <w:t xml:space="preserve"> ricorrenti nella domanda n. 54264/15 richiedono</w:t>
      </w:r>
      <w:r>
        <w:rPr>
          <w:rStyle w:val="tlid-translation"/>
          <w:rFonts w:ascii="Arial" w:hAnsi="Arial" w:cs="Arial"/>
          <w:sz w:val="24"/>
          <w:szCs w:val="24"/>
        </w:rPr>
        <w:t xml:space="preserve"> una</w:t>
      </w:r>
      <w:r w:rsidRPr="00150775">
        <w:rPr>
          <w:rStyle w:val="tlid-translation"/>
          <w:rFonts w:ascii="Arial" w:hAnsi="Arial" w:cs="Arial"/>
          <w:sz w:val="24"/>
          <w:szCs w:val="24"/>
        </w:rPr>
        <w:t xml:space="preserve"> somma aggiuntiva di EUR 20</w:t>
      </w:r>
      <w:r>
        <w:rPr>
          <w:rStyle w:val="tlid-translation"/>
          <w:rFonts w:ascii="Arial" w:hAnsi="Arial" w:cs="Arial"/>
          <w:sz w:val="24"/>
          <w:szCs w:val="24"/>
        </w:rPr>
        <w:t>.</w:t>
      </w:r>
      <w:r w:rsidRPr="00150775">
        <w:rPr>
          <w:rStyle w:val="tlid-translation"/>
          <w:rFonts w:ascii="Arial" w:hAnsi="Arial" w:cs="Arial"/>
          <w:sz w:val="24"/>
          <w:szCs w:val="24"/>
        </w:rPr>
        <w:t xml:space="preserve"> 000, anche per danno non patrimoniale, per ognuno di coloro </w:t>
      </w:r>
      <w:r>
        <w:rPr>
          <w:rStyle w:val="tlid-translation"/>
          <w:rFonts w:ascii="Arial" w:hAnsi="Arial" w:cs="Arial"/>
          <w:sz w:val="24"/>
          <w:szCs w:val="24"/>
        </w:rPr>
        <w:t>i quali s</w:t>
      </w:r>
      <w:r w:rsidRPr="00150775">
        <w:rPr>
          <w:rStyle w:val="tlid-translation"/>
          <w:rFonts w:ascii="Arial" w:hAnsi="Arial" w:cs="Arial"/>
          <w:sz w:val="24"/>
          <w:szCs w:val="24"/>
        </w:rPr>
        <w:t>offrono di una patologia o</w:t>
      </w:r>
      <w:r>
        <w:rPr>
          <w:rStyle w:val="tlid-translation"/>
          <w:rFonts w:ascii="Arial" w:hAnsi="Arial" w:cs="Arial"/>
          <w:sz w:val="24"/>
          <w:szCs w:val="24"/>
        </w:rPr>
        <w:t xml:space="preserve"> per </w:t>
      </w:r>
      <w:r w:rsidRPr="00150775">
        <w:rPr>
          <w:rStyle w:val="tlid-translation"/>
          <w:rFonts w:ascii="Arial" w:hAnsi="Arial" w:cs="Arial"/>
          <w:sz w:val="24"/>
          <w:szCs w:val="24"/>
        </w:rPr>
        <w:t>chi ha</w:t>
      </w:r>
      <w:r>
        <w:rPr>
          <w:rStyle w:val="tlid-translation"/>
          <w:rFonts w:ascii="Arial" w:hAnsi="Arial" w:cs="Arial"/>
          <w:sz w:val="24"/>
          <w:szCs w:val="24"/>
        </w:rPr>
        <w:t xml:space="preserve"> </w:t>
      </w:r>
      <w:r w:rsidRPr="00150775">
        <w:rPr>
          <w:rStyle w:val="tlid-translation"/>
          <w:rFonts w:ascii="Arial" w:hAnsi="Arial" w:cs="Arial"/>
          <w:sz w:val="24"/>
          <w:szCs w:val="24"/>
        </w:rPr>
        <w:t xml:space="preserve">perso una persona amata a causa delle emissioni nocive </w:t>
      </w:r>
      <w:r>
        <w:rPr>
          <w:rStyle w:val="tlid-translation"/>
          <w:rFonts w:ascii="Arial" w:hAnsi="Arial" w:cs="Arial"/>
          <w:sz w:val="24"/>
          <w:szCs w:val="24"/>
        </w:rPr>
        <w:t>degli impianti</w:t>
      </w:r>
      <w:r w:rsidRPr="00150775">
        <w:rPr>
          <w:rStyle w:val="tlid-translation"/>
          <w:rFonts w:ascii="Arial" w:hAnsi="Arial" w:cs="Arial"/>
          <w:sz w:val="24"/>
          <w:szCs w:val="24"/>
        </w:rPr>
        <w:t xml:space="preserve"> Ilva.</w:t>
      </w:r>
    </w:p>
    <w:p w:rsidR="005F1DFD" w:rsidRDefault="005F1DFD" w:rsidP="005F1DFD">
      <w:pPr>
        <w:spacing w:after="120"/>
        <w:ind w:left="720"/>
        <w:jc w:val="both"/>
        <w:rPr>
          <w:rStyle w:val="tlid-translation"/>
          <w:rFonts w:ascii="Arial" w:hAnsi="Arial" w:cs="Arial"/>
          <w:sz w:val="24"/>
          <w:szCs w:val="24"/>
        </w:rPr>
      </w:pPr>
      <w:r w:rsidRPr="00150775">
        <w:rPr>
          <w:rStyle w:val="tlid-translation"/>
          <w:rFonts w:ascii="Arial" w:hAnsi="Arial" w:cs="Arial"/>
          <w:sz w:val="24"/>
          <w:szCs w:val="24"/>
        </w:rPr>
        <w:t>186. Il governo contesta queste affermazioni.</w:t>
      </w:r>
    </w:p>
    <w:p w:rsidR="005F1DFD" w:rsidRDefault="005F1DFD" w:rsidP="005F1DFD">
      <w:pPr>
        <w:spacing w:after="120"/>
        <w:ind w:left="720"/>
        <w:jc w:val="both"/>
        <w:rPr>
          <w:rStyle w:val="tlid-translation"/>
          <w:rFonts w:ascii="Arial" w:hAnsi="Arial" w:cs="Arial"/>
          <w:sz w:val="24"/>
          <w:szCs w:val="24"/>
        </w:rPr>
      </w:pPr>
      <w:r w:rsidRPr="00150775">
        <w:rPr>
          <w:rStyle w:val="tlid-translation"/>
          <w:rFonts w:ascii="Arial" w:hAnsi="Arial" w:cs="Arial"/>
          <w:sz w:val="24"/>
          <w:szCs w:val="24"/>
        </w:rPr>
        <w:t xml:space="preserve">187. Nelle circostanze della presente causa, la Corte ritiene che le conclusioni </w:t>
      </w:r>
      <w:r>
        <w:rPr>
          <w:rStyle w:val="tlid-translation"/>
          <w:rFonts w:ascii="Arial" w:hAnsi="Arial" w:cs="Arial"/>
          <w:sz w:val="24"/>
          <w:szCs w:val="24"/>
        </w:rPr>
        <w:t xml:space="preserve">sulla </w:t>
      </w:r>
      <w:r w:rsidRPr="00150775">
        <w:rPr>
          <w:rStyle w:val="tlid-translation"/>
          <w:rFonts w:ascii="Arial" w:hAnsi="Arial" w:cs="Arial"/>
          <w:sz w:val="24"/>
          <w:szCs w:val="24"/>
        </w:rPr>
        <w:t xml:space="preserve">violazione della Convenzione </w:t>
      </w:r>
      <w:r>
        <w:rPr>
          <w:rStyle w:val="tlid-translation"/>
          <w:rFonts w:ascii="Arial" w:hAnsi="Arial" w:cs="Arial"/>
          <w:sz w:val="24"/>
          <w:szCs w:val="24"/>
        </w:rPr>
        <w:t>costituiscono s</w:t>
      </w:r>
      <w:r w:rsidRPr="00150775">
        <w:rPr>
          <w:rStyle w:val="tlid-translation"/>
          <w:rFonts w:ascii="Arial" w:hAnsi="Arial" w:cs="Arial"/>
          <w:sz w:val="24"/>
          <w:szCs w:val="24"/>
        </w:rPr>
        <w:t>ufficiente risarcimento per il danno morale subito dalle ricorrenti.</w:t>
      </w:r>
    </w:p>
    <w:p w:rsidR="005F1DFD" w:rsidRDefault="005F1DFD" w:rsidP="005F1DFD">
      <w:pPr>
        <w:spacing w:after="120"/>
        <w:jc w:val="both"/>
        <w:rPr>
          <w:rStyle w:val="tlid-translation"/>
          <w:rFonts w:ascii="Arial" w:hAnsi="Arial" w:cs="Arial"/>
          <w:b/>
          <w:sz w:val="24"/>
          <w:szCs w:val="24"/>
        </w:rPr>
      </w:pPr>
      <w:r w:rsidRPr="00D57B22">
        <w:rPr>
          <w:rStyle w:val="tlid-translation"/>
          <w:rFonts w:ascii="Arial" w:hAnsi="Arial" w:cs="Arial"/>
          <w:b/>
          <w:sz w:val="24"/>
          <w:szCs w:val="24"/>
        </w:rPr>
        <w:t>B. Costi e spese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188. Nella domanda n. 54414/13, </w:t>
      </w:r>
      <w:proofErr w:type="spellStart"/>
      <w:r>
        <w:rPr>
          <w:rStyle w:val="tlid-translation"/>
          <w:rFonts w:ascii="Arial" w:hAnsi="Arial" w:cs="Arial"/>
          <w:sz w:val="24"/>
          <w:szCs w:val="24"/>
        </w:rPr>
        <w:t>Sigg.ri</w:t>
      </w:r>
      <w:proofErr w:type="spellEnd"/>
      <w:r>
        <w:rPr>
          <w:rStyle w:val="tlid-translation"/>
          <w:rFonts w:ascii="Arial" w:hAnsi="Arial" w:cs="Arial"/>
          <w:sz w:val="24"/>
          <w:szCs w:val="24"/>
        </w:rPr>
        <w:t xml:space="preserve"> </w:t>
      </w:r>
      <w:r w:rsidRPr="00150775">
        <w:rPr>
          <w:rStyle w:val="tlid-translation"/>
          <w:rFonts w:ascii="Arial" w:hAnsi="Arial" w:cs="Arial"/>
          <w:sz w:val="24"/>
          <w:szCs w:val="24"/>
        </w:rPr>
        <w:t>Maggio e La Porta richiesta rispettivamente 96</w:t>
      </w:r>
      <w:r>
        <w:rPr>
          <w:rStyle w:val="tlid-translation"/>
          <w:rFonts w:ascii="Arial" w:hAnsi="Arial" w:cs="Arial"/>
          <w:sz w:val="24"/>
          <w:szCs w:val="24"/>
        </w:rPr>
        <w:t>.</w:t>
      </w:r>
      <w:r w:rsidRPr="00150775">
        <w:rPr>
          <w:rStyle w:val="tlid-translation"/>
          <w:rFonts w:ascii="Arial" w:hAnsi="Arial" w:cs="Arial"/>
          <w:sz w:val="24"/>
          <w:szCs w:val="24"/>
        </w:rPr>
        <w:t>807,51 EUR e 29</w:t>
      </w:r>
      <w:r>
        <w:rPr>
          <w:rStyle w:val="tlid-translation"/>
          <w:rFonts w:ascii="Arial" w:hAnsi="Arial" w:cs="Arial"/>
          <w:sz w:val="24"/>
          <w:szCs w:val="24"/>
        </w:rPr>
        <w:t>.</w:t>
      </w:r>
      <w:r w:rsidRPr="00150775">
        <w:rPr>
          <w:rStyle w:val="tlid-translation"/>
          <w:rFonts w:ascii="Arial" w:hAnsi="Arial" w:cs="Arial"/>
          <w:sz w:val="24"/>
          <w:szCs w:val="24"/>
        </w:rPr>
        <w:t>335,61 EUR per le spese sostenute dinanzi alla Corte.</w:t>
      </w:r>
      <w:r w:rsidRPr="00150775">
        <w:rPr>
          <w:rFonts w:ascii="Arial" w:hAnsi="Arial" w:cs="Arial"/>
          <w:sz w:val="24"/>
          <w:szCs w:val="24"/>
        </w:rPr>
        <w:br/>
      </w:r>
      <w:r w:rsidRPr="00150775">
        <w:rPr>
          <w:rStyle w:val="tlid-translation"/>
          <w:rFonts w:ascii="Arial" w:hAnsi="Arial" w:cs="Arial"/>
          <w:sz w:val="24"/>
          <w:szCs w:val="24"/>
        </w:rPr>
        <w:t>189. Quanto alle ricorrenti nella domanda n. 54264/15, esse sostengono 41</w:t>
      </w:r>
      <w:r>
        <w:rPr>
          <w:rStyle w:val="tlid-translation"/>
          <w:rFonts w:ascii="Arial" w:hAnsi="Arial" w:cs="Arial"/>
          <w:sz w:val="24"/>
          <w:szCs w:val="24"/>
        </w:rPr>
        <w:t>.</w:t>
      </w:r>
      <w:r w:rsidRPr="00150775">
        <w:rPr>
          <w:rStyle w:val="tlid-translation"/>
          <w:rFonts w:ascii="Arial" w:hAnsi="Arial" w:cs="Arial"/>
          <w:sz w:val="24"/>
          <w:szCs w:val="24"/>
        </w:rPr>
        <w:t xml:space="preserve">535 EUR </w:t>
      </w:r>
      <w:r>
        <w:rPr>
          <w:rStyle w:val="tlid-translation"/>
          <w:rFonts w:ascii="Arial" w:hAnsi="Arial" w:cs="Arial"/>
          <w:sz w:val="24"/>
          <w:szCs w:val="24"/>
        </w:rPr>
        <w:t>per lo stesso motivo</w:t>
      </w:r>
      <w:r w:rsidRPr="00150775">
        <w:rPr>
          <w:rStyle w:val="tlid-translation"/>
          <w:rFonts w:ascii="Arial" w:hAnsi="Arial" w:cs="Arial"/>
          <w:sz w:val="24"/>
          <w:szCs w:val="24"/>
        </w:rPr>
        <w:t>.</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190. Il governo contesta queste affermazioni.</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191. Secondo la giurisprudenza della Corte, un richiedente può ottenere rimborso dei costi e delle spese solo nella misura in cui </w:t>
      </w:r>
      <w:r>
        <w:rPr>
          <w:rStyle w:val="tlid-translation"/>
          <w:rFonts w:ascii="Arial" w:hAnsi="Arial" w:cs="Arial"/>
          <w:sz w:val="24"/>
          <w:szCs w:val="24"/>
        </w:rPr>
        <w:t xml:space="preserve">sono reali e siano correlati alla </w:t>
      </w:r>
      <w:r w:rsidRPr="00150775">
        <w:rPr>
          <w:rStyle w:val="tlid-translation"/>
          <w:rFonts w:ascii="Arial" w:hAnsi="Arial" w:cs="Arial"/>
          <w:sz w:val="24"/>
          <w:szCs w:val="24"/>
        </w:rPr>
        <w:t>loro necessità e</w:t>
      </w:r>
      <w:r>
        <w:rPr>
          <w:rStyle w:val="tlid-translation"/>
          <w:rFonts w:ascii="Arial" w:hAnsi="Arial" w:cs="Arial"/>
          <w:sz w:val="24"/>
          <w:szCs w:val="24"/>
        </w:rPr>
        <w:t xml:space="preserve"> alla ragionevolezza del loro importo</w:t>
      </w:r>
      <w:r w:rsidRPr="00150775">
        <w:rPr>
          <w:rStyle w:val="tlid-translation"/>
          <w:rFonts w:ascii="Arial" w:hAnsi="Arial" w:cs="Arial"/>
          <w:sz w:val="24"/>
          <w:szCs w:val="24"/>
        </w:rPr>
        <w:t xml:space="preserve">. </w:t>
      </w:r>
      <w:r>
        <w:rPr>
          <w:rStyle w:val="tlid-translation"/>
          <w:rFonts w:ascii="Arial" w:hAnsi="Arial" w:cs="Arial"/>
          <w:sz w:val="24"/>
          <w:szCs w:val="24"/>
        </w:rPr>
        <w:t>A</w:t>
      </w:r>
      <w:r w:rsidRPr="00150775">
        <w:rPr>
          <w:rStyle w:val="tlid-translation"/>
          <w:rFonts w:ascii="Arial" w:hAnsi="Arial" w:cs="Arial"/>
          <w:sz w:val="24"/>
          <w:szCs w:val="24"/>
        </w:rPr>
        <w:t xml:space="preserve">lla luce dei documenti </w:t>
      </w:r>
      <w:r>
        <w:rPr>
          <w:rStyle w:val="tlid-translation"/>
          <w:rFonts w:ascii="Arial" w:hAnsi="Arial" w:cs="Arial"/>
          <w:sz w:val="24"/>
          <w:szCs w:val="24"/>
        </w:rPr>
        <w:t>presentati e della  gi</w:t>
      </w:r>
      <w:r w:rsidRPr="00150775">
        <w:rPr>
          <w:rStyle w:val="tlid-translation"/>
          <w:rFonts w:ascii="Arial" w:hAnsi="Arial" w:cs="Arial"/>
          <w:sz w:val="24"/>
          <w:szCs w:val="24"/>
        </w:rPr>
        <w:t>urisprudenza, la Corte ritiene ragionevole la somma di EUR 5</w:t>
      </w:r>
      <w:r>
        <w:rPr>
          <w:rStyle w:val="tlid-translation"/>
          <w:rFonts w:ascii="Arial" w:hAnsi="Arial" w:cs="Arial"/>
          <w:sz w:val="24"/>
          <w:szCs w:val="24"/>
        </w:rPr>
        <w:t>.</w:t>
      </w:r>
      <w:r w:rsidRPr="00150775">
        <w:rPr>
          <w:rStyle w:val="tlid-translation"/>
          <w:rFonts w:ascii="Arial" w:hAnsi="Arial" w:cs="Arial"/>
          <w:sz w:val="24"/>
          <w:szCs w:val="24"/>
        </w:rPr>
        <w:t>000 per richiede</w:t>
      </w:r>
      <w:r>
        <w:rPr>
          <w:rStyle w:val="tlid-translation"/>
          <w:rFonts w:ascii="Arial" w:hAnsi="Arial" w:cs="Arial"/>
          <w:sz w:val="24"/>
          <w:szCs w:val="24"/>
        </w:rPr>
        <w:t xml:space="preserve">nte </w:t>
      </w:r>
      <w:r w:rsidRPr="00150775">
        <w:rPr>
          <w:rStyle w:val="tlid-translation"/>
          <w:rFonts w:ascii="Arial" w:hAnsi="Arial" w:cs="Arial"/>
          <w:sz w:val="24"/>
          <w:szCs w:val="24"/>
        </w:rPr>
        <w:t xml:space="preserve">il procedimento dinanzi ad esso e concederlo </w:t>
      </w:r>
      <w:r>
        <w:rPr>
          <w:rStyle w:val="tlid-translation"/>
          <w:rFonts w:ascii="Arial" w:hAnsi="Arial" w:cs="Arial"/>
          <w:sz w:val="24"/>
          <w:szCs w:val="24"/>
        </w:rPr>
        <w:t>a titolo equitativo</w:t>
      </w:r>
      <w:r w:rsidRPr="00150775">
        <w:rPr>
          <w:rStyle w:val="tlid-translation"/>
          <w:rFonts w:ascii="Arial" w:hAnsi="Arial" w:cs="Arial"/>
          <w:sz w:val="24"/>
          <w:szCs w:val="24"/>
        </w:rPr>
        <w:t>.</w:t>
      </w:r>
    </w:p>
    <w:p w:rsidR="005F1DFD" w:rsidRDefault="005F1DFD" w:rsidP="005F1DFD">
      <w:pPr>
        <w:spacing w:after="120"/>
        <w:jc w:val="both"/>
        <w:rPr>
          <w:rStyle w:val="tlid-translation"/>
          <w:rFonts w:ascii="Arial" w:hAnsi="Arial" w:cs="Arial"/>
          <w:b/>
          <w:sz w:val="24"/>
          <w:szCs w:val="24"/>
        </w:rPr>
      </w:pPr>
      <w:r w:rsidRPr="00D57B22">
        <w:rPr>
          <w:rStyle w:val="tlid-translation"/>
          <w:rFonts w:ascii="Arial" w:hAnsi="Arial" w:cs="Arial"/>
          <w:b/>
          <w:sz w:val="24"/>
          <w:szCs w:val="24"/>
        </w:rPr>
        <w:t>C. Interessi di mora</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192. La Corte ritiene appropriato </w:t>
      </w:r>
      <w:r>
        <w:rPr>
          <w:rStyle w:val="tlid-translation"/>
          <w:rFonts w:ascii="Arial" w:hAnsi="Arial" w:cs="Arial"/>
          <w:sz w:val="24"/>
          <w:szCs w:val="24"/>
        </w:rPr>
        <w:t>calcolare</w:t>
      </w:r>
      <w:r w:rsidRPr="00150775">
        <w:rPr>
          <w:rStyle w:val="tlid-translation"/>
          <w:rFonts w:ascii="Arial" w:hAnsi="Arial" w:cs="Arial"/>
          <w:sz w:val="24"/>
          <w:szCs w:val="24"/>
        </w:rPr>
        <w:t xml:space="preserve"> il tasso di interesse di mora sul tasso di interesse del prestito marginale della Banca Centrale Unione Europea </w:t>
      </w:r>
      <w:r>
        <w:rPr>
          <w:rStyle w:val="tlid-translation"/>
          <w:rFonts w:ascii="Arial" w:hAnsi="Arial" w:cs="Arial"/>
          <w:sz w:val="24"/>
          <w:szCs w:val="24"/>
        </w:rPr>
        <w:t>maggiorato</w:t>
      </w:r>
      <w:r w:rsidRPr="00150775">
        <w:rPr>
          <w:rStyle w:val="tlid-translation"/>
          <w:rFonts w:ascii="Arial" w:hAnsi="Arial" w:cs="Arial"/>
          <w:sz w:val="24"/>
          <w:szCs w:val="24"/>
        </w:rPr>
        <w:t xml:space="preserve"> tre punti percentuali.</w:t>
      </w:r>
      <w:r w:rsidRPr="00150775">
        <w:rPr>
          <w:rFonts w:ascii="Arial" w:hAnsi="Arial" w:cs="Arial"/>
          <w:sz w:val="24"/>
          <w:szCs w:val="24"/>
        </w:rPr>
        <w:br/>
      </w:r>
    </w:p>
    <w:p w:rsidR="005F1DFD" w:rsidRDefault="005F1DFD" w:rsidP="005F1DFD">
      <w:pPr>
        <w:spacing w:after="120"/>
        <w:jc w:val="both"/>
        <w:rPr>
          <w:rStyle w:val="tlid-translation"/>
          <w:rFonts w:ascii="Arial" w:hAnsi="Arial" w:cs="Arial"/>
          <w:b/>
          <w:sz w:val="24"/>
          <w:szCs w:val="24"/>
        </w:rPr>
      </w:pPr>
      <w:r w:rsidRPr="000F3BE4">
        <w:rPr>
          <w:rStyle w:val="tlid-translation"/>
          <w:rFonts w:ascii="Arial" w:hAnsi="Arial" w:cs="Arial"/>
          <w:b/>
          <w:sz w:val="24"/>
          <w:szCs w:val="24"/>
        </w:rPr>
        <w:t>PER QUESTE RAGIONI, LA CORTE UNANIMAMENTE</w:t>
      </w:r>
    </w:p>
    <w:p w:rsidR="005F1DFD" w:rsidRDefault="005F1DFD" w:rsidP="005F1DFD">
      <w:pPr>
        <w:spacing w:after="120"/>
        <w:jc w:val="both"/>
        <w:rPr>
          <w:rStyle w:val="tlid-translation"/>
          <w:rFonts w:ascii="Arial" w:hAnsi="Arial" w:cs="Arial"/>
          <w:sz w:val="24"/>
          <w:szCs w:val="24"/>
        </w:rPr>
      </w:pPr>
      <w:r w:rsidRPr="000F3BE4">
        <w:rPr>
          <w:rFonts w:ascii="Arial" w:hAnsi="Arial" w:cs="Arial"/>
          <w:b/>
          <w:sz w:val="24"/>
          <w:szCs w:val="24"/>
        </w:rPr>
        <w:lastRenderedPageBreak/>
        <w:br/>
      </w:r>
      <w:r w:rsidRPr="00150775">
        <w:rPr>
          <w:rStyle w:val="tlid-translation"/>
          <w:rFonts w:ascii="Arial" w:hAnsi="Arial" w:cs="Arial"/>
          <w:sz w:val="24"/>
          <w:szCs w:val="24"/>
        </w:rPr>
        <w:t>1. Decide di unirsi alle applicazioni;</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2. Dichiara le denunce irricevibili in merito alla parte di esse introdotta dalle ricorrenti nella domanda n. 54414/13 che compaiono sotto i numeri 23, 35, 43 e 45 e quelli della domanda n. 54264/15 che compaiono sotto numeri 4, 9, 18, 24, 25, 34, 40, 41, 42, 56, 88, 107, 111, 113 e 128;</w:t>
      </w:r>
    </w:p>
    <w:p w:rsidR="005F1DFD" w:rsidRDefault="005F1DFD" w:rsidP="005F1DFD">
      <w:pPr>
        <w:spacing w:after="120"/>
        <w:jc w:val="both"/>
        <w:rPr>
          <w:rStyle w:val="tlid-translation"/>
          <w:rFonts w:ascii="Arial" w:hAnsi="Arial" w:cs="Arial"/>
          <w:sz w:val="24"/>
          <w:szCs w:val="24"/>
        </w:rPr>
      </w:pPr>
      <w:r w:rsidRPr="004D57F2">
        <w:rPr>
          <w:rStyle w:val="tlid-translation"/>
          <w:rFonts w:ascii="Arial" w:hAnsi="Arial" w:cs="Arial"/>
          <w:sz w:val="24"/>
          <w:szCs w:val="24"/>
        </w:rPr>
        <w:t xml:space="preserve">3. Dichiara il resto dei reclami </w:t>
      </w:r>
      <w:r>
        <w:rPr>
          <w:rStyle w:val="tlid-translation"/>
          <w:rFonts w:ascii="Arial" w:hAnsi="Arial" w:cs="Arial"/>
          <w:sz w:val="24"/>
          <w:szCs w:val="24"/>
        </w:rPr>
        <w:t>come ricevibili</w:t>
      </w:r>
      <w:r w:rsidRPr="004D57F2">
        <w:rPr>
          <w:rStyle w:val="tlid-translation"/>
          <w:rFonts w:ascii="Arial" w:hAnsi="Arial" w:cs="Arial"/>
          <w:sz w:val="24"/>
          <w:szCs w:val="24"/>
        </w:rPr>
        <w:t>;</w:t>
      </w:r>
    </w:p>
    <w:p w:rsidR="005F1DFD" w:rsidRDefault="005F1DFD" w:rsidP="005F1DFD">
      <w:pPr>
        <w:spacing w:after="120"/>
        <w:jc w:val="both"/>
        <w:rPr>
          <w:rStyle w:val="tlid-translation"/>
          <w:rFonts w:ascii="Arial" w:hAnsi="Arial" w:cs="Arial"/>
          <w:sz w:val="24"/>
          <w:szCs w:val="24"/>
        </w:rPr>
      </w:pPr>
      <w:r w:rsidRPr="004D57F2">
        <w:rPr>
          <w:rFonts w:ascii="Arial" w:hAnsi="Arial" w:cs="Arial"/>
          <w:sz w:val="24"/>
          <w:szCs w:val="24"/>
        </w:rPr>
        <w:br/>
      </w:r>
      <w:r w:rsidRPr="00150775">
        <w:rPr>
          <w:rStyle w:val="tlid-translation"/>
          <w:rFonts w:ascii="Arial" w:hAnsi="Arial" w:cs="Arial"/>
          <w:sz w:val="24"/>
          <w:szCs w:val="24"/>
        </w:rPr>
        <w:t>4. Sostiene che c'è stata una violazione dell'Articolo 8 della Convenzione;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5. Sostiene che c'è stata una violazione dell'Articolo 13 della Convenzione;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6. Sostiene che </w:t>
      </w:r>
      <w:r>
        <w:rPr>
          <w:rStyle w:val="tlid-translation"/>
          <w:rFonts w:ascii="Arial" w:hAnsi="Arial" w:cs="Arial"/>
          <w:sz w:val="24"/>
          <w:szCs w:val="24"/>
        </w:rPr>
        <w:t>l’accertamento</w:t>
      </w:r>
      <w:r w:rsidRPr="00150775">
        <w:rPr>
          <w:rStyle w:val="tlid-translation"/>
          <w:rFonts w:ascii="Arial" w:hAnsi="Arial" w:cs="Arial"/>
          <w:sz w:val="24"/>
          <w:szCs w:val="24"/>
        </w:rPr>
        <w:t xml:space="preserve"> di una violazione fornisce di per sé soddisfazione</w:t>
      </w:r>
      <w:r w:rsidRPr="00150775">
        <w:rPr>
          <w:rFonts w:ascii="Arial" w:hAnsi="Arial" w:cs="Arial"/>
          <w:sz w:val="24"/>
          <w:szCs w:val="24"/>
        </w:rPr>
        <w:br/>
      </w:r>
      <w:r w:rsidRPr="00150775">
        <w:rPr>
          <w:rStyle w:val="tlid-translation"/>
          <w:rFonts w:ascii="Arial" w:hAnsi="Arial" w:cs="Arial"/>
          <w:sz w:val="24"/>
          <w:szCs w:val="24"/>
        </w:rPr>
        <w:t>sufficiente per il danno non patrimoniale patito dai richiedenti interessati;</w:t>
      </w:r>
      <w:r w:rsidRPr="00150775">
        <w:rPr>
          <w:rFonts w:ascii="Arial" w:hAnsi="Arial" w:cs="Arial"/>
          <w:sz w:val="24"/>
          <w:szCs w:val="24"/>
        </w:rPr>
        <w:br/>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7. ha </w:t>
      </w:r>
      <w:r>
        <w:rPr>
          <w:rStyle w:val="tlid-translation"/>
          <w:rFonts w:ascii="Arial" w:hAnsi="Arial" w:cs="Arial"/>
          <w:sz w:val="24"/>
          <w:szCs w:val="24"/>
        </w:rPr>
        <w:t>prescritto che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(a) lo Stato convenuto deve pagare </w:t>
      </w:r>
      <w:r>
        <w:rPr>
          <w:rStyle w:val="tlid-translation"/>
          <w:rFonts w:ascii="Arial" w:hAnsi="Arial" w:cs="Arial"/>
          <w:sz w:val="24"/>
          <w:szCs w:val="24"/>
        </w:rPr>
        <w:t>i richiedenti</w:t>
      </w:r>
      <w:r w:rsidRPr="00150775">
        <w:rPr>
          <w:rStyle w:val="tlid-translation"/>
          <w:rFonts w:ascii="Arial" w:hAnsi="Arial" w:cs="Arial"/>
          <w:sz w:val="24"/>
          <w:szCs w:val="24"/>
        </w:rPr>
        <w:t xml:space="preserve">, entro tre mesi dal giorno in cui la sentenza diventa definitiva in conformità con Articolo 44 § 2 della Convenzione, EUR 5.000 (cinquemila euro) a </w:t>
      </w:r>
      <w:r>
        <w:rPr>
          <w:rStyle w:val="tlid-translation"/>
          <w:rFonts w:ascii="Arial" w:hAnsi="Arial" w:cs="Arial"/>
          <w:sz w:val="24"/>
          <w:szCs w:val="24"/>
        </w:rPr>
        <w:t>interessato</w:t>
      </w:r>
      <w:r w:rsidRPr="00150775">
        <w:rPr>
          <w:rStyle w:val="tlid-translation"/>
          <w:rFonts w:ascii="Arial" w:hAnsi="Arial" w:cs="Arial"/>
          <w:sz w:val="24"/>
          <w:szCs w:val="24"/>
        </w:rPr>
        <w:t>, più qualsiasi importo dovuto da loro a come tassa, per costi e spese,</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 xml:space="preserve">(b) che dalla scadenza di tale termine fino al pagamento, l'importo sarà aumentato di un interesse semplice </w:t>
      </w:r>
      <w:r>
        <w:rPr>
          <w:rStyle w:val="tlid-translation"/>
          <w:rFonts w:ascii="Arial" w:hAnsi="Arial" w:cs="Arial"/>
          <w:sz w:val="24"/>
          <w:szCs w:val="24"/>
        </w:rPr>
        <w:t xml:space="preserve">pari </w:t>
      </w:r>
      <w:r w:rsidRPr="00150775">
        <w:rPr>
          <w:rStyle w:val="tlid-translation"/>
          <w:rFonts w:ascii="Arial" w:hAnsi="Arial" w:cs="Arial"/>
          <w:sz w:val="24"/>
          <w:szCs w:val="24"/>
        </w:rPr>
        <w:t>ad un tasso uguale a quello del strumento di rifinanziamento marginale della Banca centrale europea applicabile durante questo periodo, aumentato di tre punti percentuali;</w:t>
      </w:r>
    </w:p>
    <w:p w:rsidR="005F1DFD" w:rsidRDefault="005F1DFD" w:rsidP="005F1DFD">
      <w:pPr>
        <w:spacing w:after="120"/>
        <w:jc w:val="both"/>
        <w:rPr>
          <w:rStyle w:val="tlid-translation"/>
          <w:rFonts w:ascii="Arial" w:hAnsi="Arial" w:cs="Arial"/>
          <w:sz w:val="24"/>
          <w:szCs w:val="24"/>
        </w:rPr>
      </w:pPr>
      <w:r w:rsidRPr="00150775">
        <w:rPr>
          <w:rStyle w:val="tlid-translation"/>
          <w:rFonts w:ascii="Arial" w:hAnsi="Arial" w:cs="Arial"/>
          <w:sz w:val="24"/>
          <w:szCs w:val="24"/>
        </w:rPr>
        <w:t>8. Respinge la richiesta di equa soddisfazione per il resto.</w:t>
      </w:r>
    </w:p>
    <w:p w:rsidR="005F1DFD" w:rsidRDefault="005F1DFD" w:rsidP="005F1DFD">
      <w:pPr>
        <w:spacing w:after="120"/>
        <w:jc w:val="both"/>
        <w:rPr>
          <w:rStyle w:val="tlid-translation"/>
          <w:rFonts w:ascii="Arial" w:hAnsi="Arial" w:cs="Arial"/>
          <w:sz w:val="24"/>
          <w:szCs w:val="24"/>
        </w:rPr>
      </w:pPr>
      <w:r w:rsidRPr="00150775">
        <w:rPr>
          <w:rFonts w:ascii="Arial" w:hAnsi="Arial" w:cs="Arial"/>
          <w:sz w:val="24"/>
          <w:szCs w:val="24"/>
        </w:rPr>
        <w:br/>
      </w:r>
      <w:r>
        <w:rPr>
          <w:rStyle w:val="tlid-translation"/>
          <w:rFonts w:ascii="Arial" w:hAnsi="Arial" w:cs="Arial"/>
          <w:sz w:val="24"/>
          <w:szCs w:val="24"/>
        </w:rPr>
        <w:t>Redatto</w:t>
      </w:r>
      <w:r w:rsidRPr="00150775">
        <w:rPr>
          <w:rStyle w:val="tlid-translation"/>
          <w:rFonts w:ascii="Arial" w:hAnsi="Arial" w:cs="Arial"/>
          <w:sz w:val="24"/>
          <w:szCs w:val="24"/>
        </w:rPr>
        <w:t xml:space="preserve"> in francese e notificato per iscritto il 24 gennaio 2019, in</w:t>
      </w:r>
      <w:r w:rsidRPr="00150775">
        <w:rPr>
          <w:rFonts w:ascii="Arial" w:hAnsi="Arial" w:cs="Arial"/>
          <w:sz w:val="24"/>
          <w:szCs w:val="24"/>
        </w:rPr>
        <w:br/>
      </w:r>
      <w:r w:rsidRPr="00150775">
        <w:rPr>
          <w:rStyle w:val="tlid-translation"/>
          <w:rFonts w:ascii="Arial" w:hAnsi="Arial" w:cs="Arial"/>
          <w:sz w:val="24"/>
          <w:szCs w:val="24"/>
        </w:rPr>
        <w:t>applicazione dell'articolo 77 §§ 2 e 3 del Regolamento della Corte.</w:t>
      </w:r>
    </w:p>
    <w:p w:rsidR="005F1DFD" w:rsidRDefault="005F1DFD" w:rsidP="005F1DFD">
      <w:pPr>
        <w:spacing w:after="120"/>
        <w:rPr>
          <w:rStyle w:val="tlid-translation"/>
          <w:rFonts w:ascii="Arial" w:hAnsi="Arial" w:cs="Arial"/>
          <w:sz w:val="24"/>
          <w:szCs w:val="24"/>
        </w:rPr>
      </w:pPr>
      <w:r w:rsidRPr="00150775">
        <w:rPr>
          <w:rFonts w:ascii="Arial" w:hAnsi="Arial" w:cs="Arial"/>
          <w:sz w:val="24"/>
          <w:szCs w:val="24"/>
        </w:rPr>
        <w:br/>
      </w:r>
      <w:r w:rsidRPr="00150775">
        <w:rPr>
          <w:rStyle w:val="tlid-translation"/>
          <w:rFonts w:ascii="Arial" w:hAnsi="Arial" w:cs="Arial"/>
          <w:sz w:val="24"/>
          <w:szCs w:val="24"/>
        </w:rPr>
        <w:t xml:space="preserve">Renata </w:t>
      </w:r>
      <w:proofErr w:type="spellStart"/>
      <w:r w:rsidRPr="00150775">
        <w:rPr>
          <w:rStyle w:val="tlid-translation"/>
          <w:rFonts w:ascii="Arial" w:hAnsi="Arial" w:cs="Arial"/>
          <w:sz w:val="24"/>
          <w:szCs w:val="24"/>
        </w:rPr>
        <w:t>Degener</w:t>
      </w:r>
      <w:proofErr w:type="spellEnd"/>
      <w:r w:rsidRPr="00150775">
        <w:rPr>
          <w:rStyle w:val="tlid-translation"/>
          <w:rFonts w:ascii="Arial" w:hAnsi="Arial" w:cs="Arial"/>
          <w:sz w:val="24"/>
          <w:szCs w:val="24"/>
        </w:rPr>
        <w:t xml:space="preserve"> </w:t>
      </w:r>
      <w:proofErr w:type="spellStart"/>
      <w:r w:rsidRPr="00150775">
        <w:rPr>
          <w:rStyle w:val="tlid-translation"/>
          <w:rFonts w:ascii="Arial" w:hAnsi="Arial" w:cs="Arial"/>
          <w:sz w:val="24"/>
          <w:szCs w:val="24"/>
        </w:rPr>
        <w:t>Linos</w:t>
      </w:r>
      <w:proofErr w:type="spellEnd"/>
      <w:r w:rsidRPr="00150775">
        <w:rPr>
          <w:rStyle w:val="tlid-translation"/>
          <w:rFonts w:ascii="Arial" w:hAnsi="Arial" w:cs="Arial"/>
          <w:sz w:val="24"/>
          <w:szCs w:val="24"/>
        </w:rPr>
        <w:t xml:space="preserve">-Alexandre </w:t>
      </w:r>
      <w:proofErr w:type="spellStart"/>
      <w:r w:rsidRPr="00150775">
        <w:rPr>
          <w:rStyle w:val="tlid-translation"/>
          <w:rFonts w:ascii="Arial" w:hAnsi="Arial" w:cs="Arial"/>
          <w:sz w:val="24"/>
          <w:szCs w:val="24"/>
        </w:rPr>
        <w:t>Sicilianos</w:t>
      </w:r>
      <w:proofErr w:type="spellEnd"/>
      <w:r w:rsidRPr="00150775">
        <w:rPr>
          <w:rFonts w:ascii="Arial" w:hAnsi="Arial" w:cs="Arial"/>
          <w:sz w:val="24"/>
          <w:szCs w:val="24"/>
        </w:rPr>
        <w:br/>
      </w:r>
      <w:r w:rsidRPr="00150775">
        <w:rPr>
          <w:rStyle w:val="tlid-translation"/>
          <w:rFonts w:ascii="Arial" w:hAnsi="Arial" w:cs="Arial"/>
          <w:sz w:val="24"/>
          <w:szCs w:val="24"/>
        </w:rPr>
        <w:t>Vicepresidente</w:t>
      </w:r>
      <w:r w:rsidRPr="00150775">
        <w:rPr>
          <w:rFonts w:ascii="Arial" w:hAnsi="Arial" w:cs="Arial"/>
          <w:sz w:val="24"/>
          <w:szCs w:val="24"/>
        </w:rPr>
        <w:br/>
      </w:r>
    </w:p>
    <w:p w:rsidR="001B59D3" w:rsidRDefault="001B59D3"/>
    <w:sectPr w:rsidR="001B59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76B75"/>
    <w:multiLevelType w:val="hybridMultilevel"/>
    <w:tmpl w:val="67E654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FD"/>
    <w:rsid w:val="001B59D3"/>
    <w:rsid w:val="005F1DFD"/>
    <w:rsid w:val="00E65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DF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5F1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DF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5F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2839</Words>
  <Characters>16185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ASL Milano</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Caldiroli Marco</dc:creator>
  <cp:lastModifiedBy>Caldiroli Marco</cp:lastModifiedBy>
  <cp:revision>1</cp:revision>
  <dcterms:created xsi:type="dcterms:W3CDTF">2019-01-30T13:30:00Z</dcterms:created>
  <dcterms:modified xsi:type="dcterms:W3CDTF">2019-01-30T13:36:00Z</dcterms:modified>
</cp:coreProperties>
</file>